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0.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535"/>
        <w:gridCol w:w="6825"/>
        <w:tblGridChange w:id="0">
          <w:tblGrid>
            <w:gridCol w:w="2535"/>
            <w:gridCol w:w="6825"/>
          </w:tblGrid>
        </w:tblGridChange>
      </w:tblGrid>
      <w:tr>
        <w:trPr>
          <w:trHeight w:val="1160" w:hRule="atLeast"/>
        </w:trPr>
        <w:tc>
          <w:tcPr>
            <w:tcMar>
              <w:top w:w="100.0" w:type="dxa"/>
              <w:left w:w="100.0" w:type="dxa"/>
              <w:bottom w:w="100.0" w:type="dxa"/>
              <w:right w:w="100.0" w:type="dxa"/>
            </w:tcMar>
          </w:tcPr>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Pr>
              <w:drawing>
                <wp:inline distB="114300" distT="114300" distL="114300" distR="114300">
                  <wp:extent cx="1517986" cy="3446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17986" cy="3446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7030a0"/>
                <w:sz w:val="40"/>
                <w:szCs w:val="40"/>
                <w:u w:val="none"/>
                <w:shd w:fill="auto" w:val="clear"/>
                <w:vertAlign w:val="baseline"/>
              </w:rPr>
            </w:pPr>
            <w:r w:rsidDel="00000000" w:rsidR="00000000" w:rsidRPr="00000000">
              <w:rPr>
                <w:rFonts w:ascii="Calibri" w:cs="Calibri" w:eastAsia="Calibri" w:hAnsi="Calibri"/>
                <w:b w:val="1"/>
                <w:i w:val="0"/>
                <w:smallCaps w:val="0"/>
                <w:strike w:val="0"/>
                <w:color w:val="7030a0"/>
                <w:sz w:val="40"/>
                <w:szCs w:val="40"/>
                <w:u w:val="none"/>
                <w:shd w:fill="auto" w:val="clear"/>
                <w:vertAlign w:val="baseline"/>
                <w:rtl w:val="0"/>
              </w:rPr>
              <w:t xml:space="preserve">HSM</w:t>
            </w:r>
            <w:r w:rsidDel="00000000" w:rsidR="00000000" w:rsidRPr="00000000">
              <w:rPr>
                <w:rFonts w:ascii="Calibri" w:cs="Calibri" w:eastAsia="Calibri" w:hAnsi="Calibri"/>
                <w:b w:val="1"/>
                <w:color w:val="7030a0"/>
                <w:sz w:val="40"/>
                <w:szCs w:val="40"/>
                <w:rtl w:val="0"/>
              </w:rPr>
              <w:t xml:space="preserve">201.7</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40"/>
                <w:szCs w:val="40"/>
                <w:u w:val="none"/>
                <w:shd w:fill="auto" w:val="clear"/>
                <w:vertAlign w:val="baseline"/>
                <w:rtl w:val="0"/>
              </w:rPr>
              <w:t xml:space="preserve">Music Psychology</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Summer Semester, 2020-2021</w:t>
            </w:r>
            <w:r w:rsidDel="00000000" w:rsidR="00000000" w:rsidRPr="00000000">
              <w:rPr>
                <w:rtl w:val="0"/>
              </w:rPr>
            </w:r>
          </w:p>
        </w:tc>
      </w:tr>
    </w:tb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Ind w:w="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055"/>
        <w:gridCol w:w="3652"/>
        <w:gridCol w:w="1826"/>
        <w:gridCol w:w="1827"/>
        <w:tblGridChange w:id="0">
          <w:tblGrid>
            <w:gridCol w:w="2055"/>
            <w:gridCol w:w="3652"/>
            <w:gridCol w:w="1826"/>
            <w:gridCol w:w="1827"/>
          </w:tblGrid>
        </w:tblGridChange>
      </w:tblGrid>
      <w:tr>
        <w:tc>
          <w:tcPr>
            <w:tcMar>
              <w:top w:w="100.0" w:type="dxa"/>
              <w:left w:w="100.0" w:type="dxa"/>
              <w:bottom w:w="100.0" w:type="dxa"/>
              <w:right w:w="100.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AQF Level</w:t>
            </w:r>
          </w:p>
        </w:tc>
        <w:tc>
          <w:tcPr>
            <w:gridSpan w:val="3"/>
            <w:tcMar>
              <w:top w:w="100.0" w:type="dxa"/>
              <w:left w:w="100.0" w:type="dxa"/>
              <w:bottom w:w="100.0" w:type="dxa"/>
              <w:right w:w="100.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r>
      <w:tr>
        <w:tc>
          <w:tcPr>
            <w:tcMar>
              <w:top w:w="100.0" w:type="dxa"/>
              <w:left w:w="100.0" w:type="dxa"/>
              <w:bottom w:w="100.0" w:type="dxa"/>
              <w:right w:w="10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Credit Points</w:t>
            </w:r>
          </w:p>
        </w:tc>
        <w:tc>
          <w:tcPr>
            <w:gridSpan w:val="3"/>
            <w:tcMar>
              <w:top w:w="100.0" w:type="dxa"/>
              <w:left w:w="100.0" w:type="dxa"/>
              <w:bottom w:w="100.0" w:type="dxa"/>
              <w:right w:w="10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p>
        </w:tc>
      </w:tr>
      <w:tr>
        <w:tc>
          <w:tcPr>
            <w:tcMar>
              <w:top w:w="100.0" w:type="dxa"/>
              <w:left w:w="100.0" w:type="dxa"/>
              <w:bottom w:w="100.0" w:type="dxa"/>
              <w:right w:w="100.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Duration</w:t>
            </w:r>
          </w:p>
        </w:tc>
        <w:tc>
          <w:tcPr>
            <w:tcMar>
              <w:top w:w="100.0" w:type="dxa"/>
              <w:left w:w="100.0" w:type="dxa"/>
              <w:bottom w:w="100.0" w:type="dxa"/>
              <w:right w:w="100.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school semester</w:t>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 level</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or 3</w:t>
            </w:r>
          </w:p>
        </w:tc>
      </w:tr>
      <w:tr>
        <w:tc>
          <w:tcPr>
            <w:tcMar>
              <w:top w:w="100.0" w:type="dxa"/>
              <w:left w:w="100.0" w:type="dxa"/>
              <w:bottom w:w="100.0" w:type="dxa"/>
              <w:right w:w="10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Sessions</w:t>
            </w:r>
          </w:p>
        </w:tc>
        <w:tc>
          <w:tcPr>
            <w:gridSpan w:val="3"/>
            <w:tcMar>
              <w:top w:w="100.0" w:type="dxa"/>
              <w:left w:w="100.0" w:type="dxa"/>
              <w:bottom w:w="100.0" w:type="dxa"/>
              <w:right w:w="100.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Tuesday and Thursday, December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2020. 5pm to 8pm.</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Tuesday, Wednesday, Thursday January 5</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2021,  9:30am – 4pm.</w:t>
            </w:r>
          </w:p>
          <w:p w:rsidR="00000000" w:rsidDel="00000000" w:rsidP="00000000" w:rsidRDefault="00000000" w:rsidRPr="00000000" w14:paraId="00000017">
            <w:pPr>
              <w:widowControl w:val="0"/>
              <w:spacing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Optional workshop: Tuesday January 12th, 9:30am - 12:30pm</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Lecturer</w:t>
            </w:r>
          </w:p>
        </w:tc>
        <w:tc>
          <w:tcPr>
            <w:gridSpan w:val="3"/>
            <w:tcMar>
              <w:top w:w="100.0" w:type="dxa"/>
              <w:left w:w="100.0" w:type="dxa"/>
              <w:bottom w:w="100.0" w:type="dxa"/>
              <w:right w:w="100.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Janelle Fletcher  Email: jfletcher@adelaide.tabor.edu.au</w:t>
            </w:r>
          </w:p>
        </w:tc>
      </w:tr>
      <w:tr>
        <w:tc>
          <w:tcPr>
            <w:tcMar>
              <w:top w:w="100.0" w:type="dxa"/>
              <w:left w:w="100.0" w:type="dxa"/>
              <w:bottom w:w="100.0" w:type="dxa"/>
              <w:right w:w="100.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tutor</w:t>
            </w:r>
          </w:p>
        </w:tc>
        <w:tc>
          <w:tcPr>
            <w:gridSpan w:val="3"/>
            <w:tcMar>
              <w:top w:w="100.0" w:type="dxa"/>
              <w:left w:w="100.0" w:type="dxa"/>
              <w:bottom w:w="100.0" w:type="dxa"/>
              <w:right w:w="100.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Annara Oxenham  (Counselling) </w:t>
            </w:r>
            <w:r w:rsidDel="00000000" w:rsidR="00000000" w:rsidRPr="00000000">
              <w:rPr>
                <w:rFonts w:ascii="Calibri" w:cs="Calibri" w:eastAsia="Calibri" w:hAnsi="Calibri"/>
                <w:sz w:val="24"/>
                <w:szCs w:val="24"/>
                <w:rtl w:val="0"/>
              </w:rPr>
              <w:t xml:space="preserve">Email: aoxenham@tabor.edu.au</w:t>
            </w:r>
            <w:r w:rsidDel="00000000" w:rsidR="00000000" w:rsidRPr="00000000">
              <w:rPr>
                <w:rtl w:val="0"/>
              </w:rPr>
            </w:r>
          </w:p>
        </w:tc>
      </w:tr>
    </w:tb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SUBJECT DESCRIPTION</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This subject examines the theory and practice of music from a psychological and social-psychological perspective. Drawing from key research and theories, students will critically explore the connection between music and the brain in order to analyse and apply therapeutic uses of music and ways in which music aids a range of cognitive processes.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tudents will also develop their critical thinking and research skills through scholarly article reviews and development of a research project.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PREREQUISITES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None. However it is recommended that students do not choose this subject in their first year due to the fast nature of intensive learning and heavy literacy skills required.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7030a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LEARNING OUTCOMES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On successful completion of this subject the student will be able to: </w:t>
      </w:r>
    </w:p>
    <w:tbl>
      <w:tblPr>
        <w:tblStyle w:val="Table3"/>
        <w:tblW w:w="9360.0" w:type="dxa"/>
        <w:jc w:val="left"/>
        <w:tblInd w:w="0.0" w:type="dxa"/>
        <w:tblLayout w:type="fixed"/>
        <w:tblLook w:val="0600"/>
      </w:tblPr>
      <w:tblGrid>
        <w:gridCol w:w="9360"/>
        <w:tblGridChange w:id="0">
          <w:tblGrid>
            <w:gridCol w:w="9360"/>
          </w:tblGrid>
        </w:tblGridChange>
      </w:tblGrid>
      <w:tr>
        <w:trPr>
          <w:trHeight w:val="317" w:hRule="atLeast"/>
        </w:trPr>
        <w:tc>
          <w:tcPr>
            <w:tcBorders>
              <w:top w:color="7030a0" w:space="0" w:sz="8" w:val="single"/>
              <w:left w:color="7030a0" w:space="0" w:sz="8" w:val="single"/>
              <w:bottom w:color="7030a0" w:space="0" w:sz="8" w:val="single"/>
              <w:right w:color="7030a0" w:space="0" w:sz="8" w:val="single"/>
            </w:tcBorders>
            <w:tcMar>
              <w:top w:w="100.0" w:type="dxa"/>
              <w:left w:w="100.0" w:type="dxa"/>
              <w:bottom w:w="100.0" w:type="dxa"/>
              <w:right w:w="100.0" w:type="dxa"/>
            </w:tcMar>
            <w:vAlign w:val="top"/>
          </w:tcPr>
          <w:p w:rsidR="00000000" w:rsidDel="00000000" w:rsidP="00000000" w:rsidRDefault="00000000" w:rsidRPr="00000000" w14:paraId="0000002C">
            <w:pPr>
              <w:numPr>
                <w:ilvl w:val="0"/>
                <w:numId w:val="1"/>
              </w:numPr>
              <w:tabs>
                <w:tab w:val="left" w:pos="284"/>
              </w:tabs>
              <w:spacing w:after="0" w:before="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Critically examine the relationship of music and psychology in light of relevant literature</w:t>
            </w:r>
          </w:p>
        </w:tc>
      </w:tr>
      <w:tr>
        <w:trPr>
          <w:trHeight w:val="317" w:hRule="atLeast"/>
        </w:trPr>
        <w:tc>
          <w:tcPr>
            <w:tcBorders>
              <w:top w:color="7030a0" w:space="0" w:sz="8" w:val="single"/>
              <w:left w:color="7030a0" w:space="0" w:sz="8" w:val="single"/>
              <w:bottom w:color="7030a0" w:space="0" w:sz="8" w:val="single"/>
              <w:right w:color="7030a0" w:space="0" w:sz="8" w:val="single"/>
            </w:tcBorders>
            <w:tcMar>
              <w:top w:w="100.0" w:type="dxa"/>
              <w:left w:w="100.0" w:type="dxa"/>
              <w:bottom w:w="100.0" w:type="dxa"/>
              <w:right w:w="100.0" w:type="dxa"/>
            </w:tcMar>
            <w:vAlign w:val="top"/>
          </w:tcPr>
          <w:p w:rsidR="00000000" w:rsidDel="00000000" w:rsidP="00000000" w:rsidRDefault="00000000" w:rsidRPr="00000000" w14:paraId="0000002D">
            <w:pPr>
              <w:numPr>
                <w:ilvl w:val="0"/>
                <w:numId w:val="1"/>
              </w:numPr>
              <w:tabs>
                <w:tab w:val="left" w:pos="284"/>
              </w:tabs>
              <w:spacing w:after="0" w:before="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Synthesise key knowledge in the application of music to cognition and holistic well-being</w:t>
            </w:r>
          </w:p>
        </w:tc>
      </w:tr>
      <w:tr>
        <w:trPr>
          <w:trHeight w:val="317" w:hRule="atLeast"/>
        </w:trPr>
        <w:tc>
          <w:tcPr>
            <w:tcBorders>
              <w:top w:color="7030a0" w:space="0" w:sz="8" w:val="single"/>
              <w:left w:color="7030a0" w:space="0" w:sz="8" w:val="single"/>
              <w:bottom w:color="7030a0" w:space="0" w:sz="8" w:val="single"/>
              <w:right w:color="7030a0" w:space="0" w:sz="8" w:val="single"/>
            </w:tcBorders>
            <w:tcMar>
              <w:top w:w="100.0" w:type="dxa"/>
              <w:left w:w="100.0" w:type="dxa"/>
              <w:bottom w:w="100.0" w:type="dxa"/>
              <w:right w:w="100.0" w:type="dxa"/>
            </w:tcMar>
            <w:vAlign w:val="top"/>
          </w:tcPr>
          <w:p w:rsidR="00000000" w:rsidDel="00000000" w:rsidP="00000000" w:rsidRDefault="00000000" w:rsidRPr="00000000" w14:paraId="0000002E">
            <w:pPr>
              <w:numPr>
                <w:ilvl w:val="0"/>
                <w:numId w:val="1"/>
              </w:numPr>
              <w:tabs>
                <w:tab w:val="left" w:pos="284"/>
              </w:tabs>
              <w:spacing w:after="0" w:before="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 advocacy proposal to demonstrate music’s impact as a therapeutic method and learning aid  </w:t>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876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TOPICS:</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Neuroscience and Music Education </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as Therapy</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Anxiety</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Social-psychology theories </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and Identity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CHANGES MADE SINCE LAST OFFERED </w:t>
      </w:r>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 xml:space="preserve">(in response to Student Subject Evaluations)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None, new subject.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DELIVERY STRATEGY</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subject is delivered using a Blended Learning approach.  Students will learn through face-to-face lectures and workshop-type sessions, personal study, in-class small and large group discussions and assessment comments on their work.  They will also be able to access reading materials online through the Tabor Online Learning Management System (using the Tabor Online platform).  There will be opportunity for interaction between students and with lecturer both face-to-face and online through Tabor Online’s Forum Discussions.  Students are expected to make effective use of lecture material, listed Reference Texts and wider reading as preparation for lectures/workshops and for assignment work (readings and assignments).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REQUIRED TEXTBOOKS </w:t>
      </w:r>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 xml:space="preserve">(Students should purchase this/these texts)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Collins, A. (2020). The music advantage. </w:t>
      </w:r>
      <w:r w:rsidDel="00000000" w:rsidR="00000000" w:rsidRPr="00000000">
        <w:rPr>
          <w:rFonts w:ascii="Calibri" w:cs="Calibri" w:eastAsia="Calibri" w:hAnsi="Calibri"/>
          <w:sz w:val="24"/>
          <w:szCs w:val="24"/>
          <w:rtl w:val="0"/>
        </w:rPr>
        <w:t xml:space="preserve">How learning music helps your child's brain and wellbeing.</w:t>
      </w:r>
      <w:r w:rsidDel="00000000" w:rsidR="00000000" w:rsidRPr="00000000">
        <w:rPr>
          <w:rFonts w:ascii="Calibri" w:cs="Calibri" w:eastAsia="Calibri" w:hAnsi="Calibri"/>
          <w:sz w:val="24"/>
          <w:szCs w:val="24"/>
          <w:rtl w:val="0"/>
        </w:rPr>
        <w:t xml:space="preserve"> Australia: Allen &amp; Unwin.</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60" w:before="60" w:line="240" w:lineRule="auto"/>
        <w:ind w:left="720" w:right="0" w:hanging="360"/>
        <w:jc w:val="left"/>
        <w:rPr>
          <w:sz w:val="24"/>
          <w:szCs w:val="24"/>
          <w:u w:val="none"/>
        </w:rPr>
      </w:pPr>
      <w:r w:rsidDel="00000000" w:rsidR="00000000" w:rsidRPr="00000000">
        <w:rPr>
          <w:rFonts w:ascii="Calibri" w:cs="Calibri" w:eastAsia="Calibri" w:hAnsi="Calibri"/>
          <w:sz w:val="24"/>
          <w:szCs w:val="24"/>
          <w:rtl w:val="0"/>
        </w:rPr>
        <w:t xml:space="preserve">This can be purchased online, or from Reception/Library at Tabor main campus.</w:t>
      </w:r>
      <w:r w:rsidDel="00000000" w:rsidR="00000000" w:rsidRPr="00000000">
        <w:rPr>
          <w:color w:val="243842"/>
          <w:sz w:val="24"/>
          <w:szCs w:val="24"/>
          <w:highlight w:val="white"/>
          <w:rtl w:val="0"/>
        </w:rPr>
        <w:t xml:space="preserv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1"/>
          <w:color w:val="7030a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RECOMMENDED TEXT(S)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Creswell, J.W. (2015). </w:t>
      </w:r>
      <w:r w:rsidDel="00000000" w:rsidR="00000000" w:rsidRPr="00000000">
        <w:rPr>
          <w:rFonts w:ascii="Calibri" w:cs="Calibri" w:eastAsia="Calibri" w:hAnsi="Calibri"/>
          <w:sz w:val="24"/>
          <w:szCs w:val="24"/>
          <w:rtl w:val="0"/>
        </w:rPr>
        <w:t xml:space="preserve">Educational research: Planning, conducting, and evaluating quantitative and qualitative research </w:t>
      </w:r>
      <w:r w:rsidDel="00000000" w:rsidR="00000000" w:rsidRPr="00000000">
        <w:rPr>
          <w:rFonts w:ascii="Calibri" w:cs="Calibri" w:eastAsia="Calibri" w:hAnsi="Calibri"/>
          <w:sz w:val="24"/>
          <w:szCs w:val="24"/>
          <w:rtl w:val="0"/>
        </w:rPr>
        <w:t xml:space="preserve">(5th ed.). Upper Saddle River, NJ: Pearson.</w:t>
      </w:r>
    </w:p>
    <w:p w:rsidR="00000000" w:rsidDel="00000000" w:rsidP="00000000" w:rsidRDefault="00000000" w:rsidRPr="00000000" w14:paraId="0000004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Creswell, J.W. &amp; Creswell, J.D. (2018). </w:t>
      </w:r>
      <w:r w:rsidDel="00000000" w:rsidR="00000000" w:rsidRPr="00000000">
        <w:rPr>
          <w:rFonts w:ascii="Calibri" w:cs="Calibri" w:eastAsia="Calibri" w:hAnsi="Calibri"/>
          <w:sz w:val="24"/>
          <w:szCs w:val="24"/>
          <w:rtl w:val="0"/>
        </w:rPr>
        <w:t xml:space="preserve">Research design: Qualitative, quantitative, and mixed methods approaches</w:t>
      </w:r>
      <w:r w:rsidDel="00000000" w:rsidR="00000000" w:rsidRPr="00000000">
        <w:rPr>
          <w:rFonts w:ascii="Calibri" w:cs="Calibri" w:eastAsia="Calibri" w:hAnsi="Calibri"/>
          <w:sz w:val="24"/>
          <w:szCs w:val="24"/>
          <w:rtl w:val="0"/>
        </w:rPr>
        <w:t xml:space="preserve">. United States: SAGE.</w:t>
      </w:r>
    </w:p>
    <w:p w:rsidR="00000000" w:rsidDel="00000000" w:rsidP="00000000" w:rsidRDefault="00000000" w:rsidRPr="00000000" w14:paraId="0000004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Frith, S. (1999). Music and social movements: Mobilizing traditions in the twentieth century. </w:t>
      </w:r>
      <w:r w:rsidDel="00000000" w:rsidR="00000000" w:rsidRPr="00000000">
        <w:rPr>
          <w:rFonts w:ascii="Calibri" w:cs="Calibri" w:eastAsia="Calibri" w:hAnsi="Calibri"/>
          <w:sz w:val="24"/>
          <w:szCs w:val="24"/>
          <w:rtl w:val="0"/>
        </w:rPr>
        <w:t xml:space="preserve">Contemporary Sociology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28</w:t>
      </w:r>
      <w:r w:rsidDel="00000000" w:rsidR="00000000" w:rsidRPr="00000000">
        <w:rPr>
          <w:rFonts w:ascii="Calibri" w:cs="Calibri" w:eastAsia="Calibri" w:hAnsi="Calibri"/>
          <w:sz w:val="24"/>
          <w:szCs w:val="24"/>
          <w:rtl w:val="0"/>
        </w:rPr>
        <w:t xml:space="preserve">(5), 579</w:t>
      </w:r>
      <w:r w:rsidDel="00000000" w:rsidR="00000000" w:rsidRPr="00000000">
        <w:rPr>
          <w:rFonts w:ascii="Calibri" w:cs="Calibri" w:eastAsia="Calibri" w:hAnsi="Calibri"/>
          <w:sz w:val="24"/>
          <w:szCs w:val="24"/>
          <w:rtl w:val="0"/>
        </w:rPr>
        <w:t xml:space="preserve">[GU1]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Levitin, D.J. (2006).  This is your Brain on Music. New York: Dutton.</w:t>
      </w:r>
    </w:p>
    <w:p w:rsidR="00000000" w:rsidDel="00000000" w:rsidP="00000000" w:rsidRDefault="00000000" w:rsidRPr="00000000" w14:paraId="0000004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Hallam, S., Cross, I., &amp; Thaut, M. (Eds.). (2011). </w:t>
      </w:r>
      <w:r w:rsidDel="00000000" w:rsidR="00000000" w:rsidRPr="00000000">
        <w:rPr>
          <w:rFonts w:ascii="Calibri" w:cs="Calibri" w:eastAsia="Calibri" w:hAnsi="Calibri"/>
          <w:sz w:val="24"/>
          <w:szCs w:val="24"/>
          <w:rtl w:val="0"/>
        </w:rPr>
        <w:t xml:space="preserve">Oxford handbook of music psychology</w:t>
      </w:r>
      <w:r w:rsidDel="00000000" w:rsidR="00000000" w:rsidRPr="00000000">
        <w:rPr>
          <w:rFonts w:ascii="Calibri" w:cs="Calibri" w:eastAsia="Calibri" w:hAnsi="Calibri"/>
          <w:sz w:val="24"/>
          <w:szCs w:val="24"/>
          <w:rtl w:val="0"/>
        </w:rPr>
        <w:t xml:space="preserve">. Oxford University Press. </w:t>
      </w:r>
      <w:r w:rsidDel="00000000" w:rsidR="00000000" w:rsidRPr="00000000">
        <w:rPr>
          <w:rFonts w:ascii="Calibri" w:cs="Calibri" w:eastAsia="Calibri" w:hAnsi="Calibri"/>
          <w:sz w:val="24"/>
          <w:szCs w:val="24"/>
          <w:rtl w:val="0"/>
        </w:rPr>
        <w:t xml:space="preserve">Lifelong Engagement with Music: Benefits for Mental Health and Well-being by Rickard and McFerran</w:t>
      </w:r>
    </w:p>
    <w:p w:rsidR="00000000" w:rsidDel="00000000" w:rsidP="00000000" w:rsidRDefault="00000000" w:rsidRPr="00000000" w14:paraId="0000004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Hallam, S. (2006). </w:t>
      </w:r>
      <w:r w:rsidDel="00000000" w:rsidR="00000000" w:rsidRPr="00000000">
        <w:rPr>
          <w:rFonts w:ascii="Calibri" w:cs="Calibri" w:eastAsia="Calibri" w:hAnsi="Calibri"/>
          <w:sz w:val="24"/>
          <w:szCs w:val="24"/>
          <w:rtl w:val="0"/>
        </w:rPr>
        <w:t xml:space="preserve">Music psychology in education</w:t>
      </w:r>
      <w:r w:rsidDel="00000000" w:rsidR="00000000" w:rsidRPr="00000000">
        <w:rPr>
          <w:rFonts w:ascii="Calibri" w:cs="Calibri" w:eastAsia="Calibri" w:hAnsi="Calibri"/>
          <w:sz w:val="24"/>
          <w:szCs w:val="24"/>
          <w:rtl w:val="0"/>
        </w:rPr>
        <w:t xml:space="preserve">. London: Institute of Education, University of London.</w:t>
      </w:r>
    </w:p>
    <w:p w:rsidR="00000000" w:rsidDel="00000000" w:rsidP="00000000" w:rsidRDefault="00000000" w:rsidRPr="00000000" w14:paraId="0000004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Hargreaves, D., &amp; Lamont, A. (2017). </w:t>
      </w:r>
      <w:r w:rsidDel="00000000" w:rsidR="00000000" w:rsidRPr="00000000">
        <w:rPr>
          <w:rFonts w:ascii="Calibri" w:cs="Calibri" w:eastAsia="Calibri" w:hAnsi="Calibri"/>
          <w:sz w:val="24"/>
          <w:szCs w:val="24"/>
          <w:rtl w:val="0"/>
        </w:rPr>
        <w:t xml:space="preserve">The psychology of musical development</w:t>
      </w:r>
      <w:r w:rsidDel="00000000" w:rsidR="00000000" w:rsidRPr="00000000">
        <w:rPr>
          <w:rFonts w:ascii="Calibri" w:cs="Calibri" w:eastAsia="Calibri" w:hAnsi="Calibri"/>
          <w:sz w:val="24"/>
          <w:szCs w:val="24"/>
          <w:rtl w:val="0"/>
        </w:rPr>
        <w:t xml:space="preserve">. Cambridge: Cambridge University Press.</w:t>
      </w:r>
    </w:p>
    <w:p w:rsidR="00000000" w:rsidDel="00000000" w:rsidP="00000000" w:rsidRDefault="00000000" w:rsidRPr="00000000" w14:paraId="0000004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Hargreaves, D.J., &amp; North, A.C. (1999). The functions of music in everyday life: Redefining the social in music psychology. </w:t>
      </w:r>
      <w:r w:rsidDel="00000000" w:rsidR="00000000" w:rsidRPr="00000000">
        <w:rPr>
          <w:rFonts w:ascii="Calibri" w:cs="Calibri" w:eastAsia="Calibri" w:hAnsi="Calibri"/>
          <w:sz w:val="24"/>
          <w:szCs w:val="24"/>
          <w:rtl w:val="0"/>
        </w:rPr>
        <w:t xml:space="preserve">Psychology of music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27</w:t>
      </w:r>
      <w:r w:rsidDel="00000000" w:rsidR="00000000" w:rsidRPr="00000000">
        <w:rPr>
          <w:rFonts w:ascii="Calibri" w:cs="Calibri" w:eastAsia="Calibri" w:hAnsi="Calibri"/>
          <w:sz w:val="24"/>
          <w:szCs w:val="24"/>
          <w:rtl w:val="0"/>
        </w:rPr>
        <w:t xml:space="preserve">(1), 71-83.</w:t>
      </w:r>
    </w:p>
    <w:p w:rsidR="00000000" w:rsidDel="00000000" w:rsidP="00000000" w:rsidRDefault="00000000" w:rsidRPr="00000000" w14:paraId="0000004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North, A., &amp; Hargreaves, D. (2008). </w:t>
      </w:r>
      <w:r w:rsidDel="00000000" w:rsidR="00000000" w:rsidRPr="00000000">
        <w:rPr>
          <w:rFonts w:ascii="Calibri" w:cs="Calibri" w:eastAsia="Calibri" w:hAnsi="Calibri"/>
          <w:sz w:val="24"/>
          <w:szCs w:val="24"/>
          <w:rtl w:val="0"/>
        </w:rPr>
        <w:t xml:space="preserve">The social and applied psychology of music</w:t>
      </w:r>
      <w:r w:rsidDel="00000000" w:rsidR="00000000" w:rsidRPr="00000000">
        <w:rPr>
          <w:rFonts w:ascii="Calibri" w:cs="Calibri" w:eastAsia="Calibri" w:hAnsi="Calibri"/>
          <w:sz w:val="24"/>
          <w:szCs w:val="24"/>
          <w:rtl w:val="0"/>
        </w:rPr>
        <w:t xml:space="preserve">. Oxford: OUP.</w:t>
      </w:r>
    </w:p>
    <w:p w:rsidR="00000000" w:rsidDel="00000000" w:rsidP="00000000" w:rsidRDefault="00000000" w:rsidRPr="00000000" w14:paraId="0000004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Sacks, O. (2007). </w:t>
      </w:r>
      <w:r w:rsidDel="00000000" w:rsidR="00000000" w:rsidRPr="00000000">
        <w:rPr>
          <w:rFonts w:ascii="Calibri" w:cs="Calibri" w:eastAsia="Calibri" w:hAnsi="Calibri"/>
          <w:sz w:val="24"/>
          <w:szCs w:val="24"/>
          <w:rtl w:val="0"/>
        </w:rPr>
        <w:t xml:space="preserve">Musicophilia: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Tales of music and the brain</w:t>
      </w:r>
      <w:r w:rsidDel="00000000" w:rsidR="00000000" w:rsidRPr="00000000">
        <w:rPr>
          <w:rFonts w:ascii="Calibri" w:cs="Calibri" w:eastAsia="Calibri" w:hAnsi="Calibri"/>
          <w:sz w:val="24"/>
          <w:szCs w:val="24"/>
          <w:rtl w:val="0"/>
        </w:rPr>
        <w:t xml:space="preserve">. Toronto: Knopf.</w:t>
      </w:r>
    </w:p>
    <w:p w:rsidR="00000000" w:rsidDel="00000000" w:rsidP="00000000" w:rsidRDefault="00000000" w:rsidRPr="00000000" w14:paraId="0000004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Thaut, M. (2008). History and research. In S. Hallam, I. Cross and M. Thaut (Eds.), </w:t>
      </w:r>
      <w:r w:rsidDel="00000000" w:rsidR="00000000" w:rsidRPr="00000000">
        <w:rPr>
          <w:rFonts w:ascii="Calibri" w:cs="Calibri" w:eastAsia="Calibri" w:hAnsi="Calibri"/>
          <w:sz w:val="24"/>
          <w:szCs w:val="24"/>
          <w:rtl w:val="0"/>
        </w:rPr>
        <w:t xml:space="preserve">Oxford Handbook of Music Psychology</w:t>
      </w:r>
      <w:r w:rsidDel="00000000" w:rsidR="00000000" w:rsidRPr="00000000">
        <w:rPr>
          <w:rFonts w:ascii="Calibri" w:cs="Calibri" w:eastAsia="Calibri" w:hAnsi="Calibri"/>
          <w:sz w:val="24"/>
          <w:szCs w:val="24"/>
          <w:rtl w:val="0"/>
        </w:rPr>
        <w:t xml:space="preserve">. Oxford: Oxford University Press</w:t>
      </w:r>
    </w:p>
    <w:p w:rsidR="00000000" w:rsidDel="00000000" w:rsidP="00000000" w:rsidRDefault="00000000" w:rsidRPr="00000000" w14:paraId="0000004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Weiten, W. (2007). </w:t>
      </w:r>
      <w:r w:rsidDel="00000000" w:rsidR="00000000" w:rsidRPr="00000000">
        <w:rPr>
          <w:rFonts w:ascii="Calibri" w:cs="Calibri" w:eastAsia="Calibri" w:hAnsi="Calibri"/>
          <w:sz w:val="24"/>
          <w:szCs w:val="24"/>
          <w:rtl w:val="0"/>
        </w:rPr>
        <w:t xml:space="preserve">Psychology: Themes and variations. </w:t>
      </w:r>
      <w:r w:rsidDel="00000000" w:rsidR="00000000" w:rsidRPr="00000000">
        <w:rPr>
          <w:rFonts w:ascii="Calibri" w:cs="Calibri" w:eastAsia="Calibri" w:hAnsi="Calibri"/>
          <w:sz w:val="24"/>
          <w:szCs w:val="24"/>
          <w:rtl w:val="0"/>
        </w:rPr>
        <w:t xml:space="preserve">Belmont, CA.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Cengage Learning.</w:t>
      </w:r>
    </w:p>
    <w:p w:rsidR="00000000" w:rsidDel="00000000" w:rsidP="00000000" w:rsidRDefault="00000000" w:rsidRPr="00000000" w14:paraId="00000050">
      <w:pPr>
        <w:pStyle w:val="Heading2"/>
        <w:numPr>
          <w:ilvl w:val="0"/>
          <w:numId w:val="2"/>
        </w:numPr>
        <w:spacing w:after="120" w:before="12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Recommended Journals</w:t>
      </w:r>
    </w:p>
    <w:p w:rsidR="00000000" w:rsidDel="00000000" w:rsidP="00000000" w:rsidRDefault="00000000" w:rsidRPr="00000000" w14:paraId="0000005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Psychology of Music: SAGE</w:t>
      </w:r>
    </w:p>
    <w:p w:rsidR="00000000" w:rsidDel="00000000" w:rsidP="00000000" w:rsidRDefault="00000000" w:rsidRPr="00000000" w14:paraId="0000005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 Studies in Music Education: SAGE</w:t>
      </w:r>
    </w:p>
    <w:p w:rsidR="00000000" w:rsidDel="00000000" w:rsidP="00000000" w:rsidRDefault="00000000" w:rsidRPr="00000000" w14:paraId="0000005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Music and Science: SAGE</w:t>
      </w:r>
    </w:p>
    <w:p w:rsidR="00000000" w:rsidDel="00000000" w:rsidP="00000000" w:rsidRDefault="00000000" w:rsidRPr="00000000" w14:paraId="0000005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Style w:val="Heading2"/>
        <w:numPr>
          <w:ilvl w:val="0"/>
          <w:numId w:val="2"/>
        </w:numPr>
        <w:spacing w:after="120" w:before="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Recommended Websites</w:t>
      </w:r>
    </w:p>
    <w:p w:rsidR="00000000" w:rsidDel="00000000" w:rsidP="00000000" w:rsidRDefault="00000000" w:rsidRPr="00000000" w14:paraId="00000056">
      <w:pPr>
        <w:ind w:left="0" w:firstLine="0"/>
        <w:rPr>
          <w:rFonts w:ascii="Calibri" w:cs="Calibri" w:eastAsia="Calibri" w:hAnsi="Calibri"/>
          <w:b w:val="1"/>
          <w:color w:val="7030a0"/>
          <w:sz w:val="24"/>
          <w:szCs w:val="24"/>
        </w:rPr>
      </w:pPr>
      <w:r w:rsidDel="00000000" w:rsidR="00000000" w:rsidRPr="00000000">
        <w:rPr>
          <w:rFonts w:ascii="Calibri" w:cs="Calibri" w:eastAsia="Calibri" w:hAnsi="Calibri"/>
          <w:sz w:val="24"/>
          <w:szCs w:val="24"/>
          <w:highlight w:val="white"/>
          <w:rtl w:val="0"/>
        </w:rPr>
        <w:t xml:space="preserve">Bigger Better Brains. 2020. [online] Available at: &lt;</w:t>
      </w:r>
      <w:hyperlink r:id="rId8">
        <w:r w:rsidDel="00000000" w:rsidR="00000000" w:rsidRPr="00000000">
          <w:rPr>
            <w:rFonts w:ascii="Calibri" w:cs="Calibri" w:eastAsia="Calibri" w:hAnsi="Calibri"/>
            <w:color w:val="1155cc"/>
            <w:sz w:val="24"/>
            <w:szCs w:val="24"/>
            <w:highlight w:val="white"/>
            <w:u w:val="single"/>
            <w:rtl w:val="0"/>
          </w:rPr>
          <w:t xml:space="preserve">https://biggerbetterbrains.com/</w:t>
        </w:r>
      </w:hyperlink>
      <w:r w:rsidDel="00000000" w:rsidR="00000000" w:rsidRPr="00000000">
        <w:rPr>
          <w:rFonts w:ascii="Calibri" w:cs="Calibri" w:eastAsia="Calibri" w:hAnsi="Calibri"/>
          <w:sz w:val="24"/>
          <w:szCs w:val="24"/>
          <w:highlight w:val="white"/>
          <w:rtl w:val="0"/>
        </w:rPr>
        <w:t xml:space="preserve">&gt;</w:t>
      </w:r>
      <w:r w:rsidDel="00000000" w:rsidR="00000000" w:rsidRPr="00000000">
        <w:rPr>
          <w:rtl w:val="0"/>
        </w:rPr>
      </w:r>
    </w:p>
    <w:p w:rsidR="00000000" w:rsidDel="00000000" w:rsidP="00000000" w:rsidRDefault="00000000" w:rsidRPr="00000000" w14:paraId="00000057">
      <w:pPr>
        <w:ind w:left="0" w:firstLine="0"/>
        <w:rPr>
          <w:rFonts w:ascii="Calibri" w:cs="Calibri" w:eastAsia="Calibri" w:hAnsi="Calibri"/>
          <w:b w:val="0"/>
          <w:i w:val="1"/>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SUMMER SEMESTER PROGRAM </w:t>
      </w:r>
      <w:r w:rsidDel="00000000" w:rsidR="00000000" w:rsidRPr="00000000">
        <w:rPr>
          <w:rtl w:val="0"/>
        </w:rPr>
      </w:r>
    </w:p>
    <w:tbl>
      <w:tblPr>
        <w:tblStyle w:val="Table4"/>
        <w:tblW w:w="10350.0" w:type="dxa"/>
        <w:jc w:val="left"/>
        <w:tblInd w:w="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3345"/>
        <w:gridCol w:w="3075"/>
        <w:gridCol w:w="3930"/>
        <w:tblGridChange w:id="0">
          <w:tblGrid>
            <w:gridCol w:w="3345"/>
            <w:gridCol w:w="3075"/>
            <w:gridCol w:w="3930"/>
          </w:tblGrid>
        </w:tblGridChange>
      </w:tblGrid>
      <w:tr>
        <w:tc>
          <w:tcPr>
            <w:tcMar>
              <w:top w:w="100.0" w:type="dxa"/>
              <w:left w:w="100.0" w:type="dxa"/>
              <w:bottom w:w="100.0" w:type="dxa"/>
              <w:right w:w="100.0" w:type="dxa"/>
            </w:tcM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Lecture number and date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Lecture content </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Readings/Activities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subject to change depending on class progr</w:t>
            </w:r>
            <w:r w:rsidDel="00000000" w:rsidR="00000000" w:rsidRPr="00000000">
              <w:rPr>
                <w:rFonts w:ascii="Calibri" w:cs="Calibri" w:eastAsia="Calibri" w:hAnsi="Calibri"/>
                <w:sz w:val="16"/>
                <w:szCs w:val="16"/>
                <w:rtl w:val="0"/>
              </w:rPr>
              <w:t xml:space="preserve">ess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 Tuesday December 1st 2020 5-8pm</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1</w:t>
            </w:r>
          </w:p>
        </w:tc>
        <w:tc>
          <w:tcPr>
            <w:tcMar>
              <w:top w:w="100.0" w:type="dxa"/>
              <w:left w:w="100.0" w:type="dxa"/>
              <w:bottom w:w="100.0" w:type="dxa"/>
              <w:right w:w="100.0" w:type="dxa"/>
            </w:tcMar>
          </w:tcPr>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to the subject</w:t>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What is music psychology? </w:t>
            </w:r>
          </w:p>
          <w:p w:rsidR="00000000" w:rsidDel="00000000" w:rsidP="00000000" w:rsidRDefault="00000000" w:rsidRPr="00000000" w14:paraId="00000061">
            <w:pPr>
              <w:spacing w:line="24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6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Subject Outline</w:t>
            </w:r>
          </w:p>
          <w:p w:rsidR="00000000" w:rsidDel="00000000" w:rsidP="00000000" w:rsidRDefault="00000000" w:rsidRPr="00000000" w14:paraId="0000006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Journal article task</w:t>
            </w:r>
          </w:p>
          <w:p w:rsidR="00000000" w:rsidDel="00000000" w:rsidP="00000000" w:rsidRDefault="00000000" w:rsidRPr="00000000" w14:paraId="00000064">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Video: Ted Talk on playing instruments</w:t>
            </w:r>
          </w:p>
          <w:p w:rsidR="00000000" w:rsidDel="00000000" w:rsidP="00000000" w:rsidRDefault="00000000" w:rsidRPr="00000000" w14:paraId="0000006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Introduction to research skills </w:t>
            </w:r>
          </w:p>
        </w:tc>
      </w:tr>
      <w:tr>
        <w:tc>
          <w:tcPr>
            <w:tcMar>
              <w:top w:w="100.0" w:type="dxa"/>
              <w:left w:w="100.0" w:type="dxa"/>
              <w:bottom w:w="100.0" w:type="dxa"/>
              <w:right w:w="100.0" w:type="dxa"/>
            </w:tcMar>
          </w:tcPr>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 Thursday December 3rd 5-8pm</w:t>
            </w:r>
          </w:p>
          <w:p w:rsidR="00000000" w:rsidDel="00000000" w:rsidP="00000000" w:rsidRDefault="00000000" w:rsidRPr="00000000" w14:paraId="00000067">
            <w:pPr>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 Online content</w:t>
            </w:r>
            <w:r w:rsidDel="00000000" w:rsidR="00000000" w:rsidRPr="00000000">
              <w:rPr>
                <w:rFonts w:ascii="Calibri" w:cs="Calibri" w:eastAsia="Calibri" w:hAnsi="Calibri"/>
                <w:sz w:val="20"/>
                <w:szCs w:val="20"/>
                <w:rtl w:val="0"/>
              </w:rPr>
              <w:t xml:space="preserve">* tbc</w:t>
            </w:r>
            <w:r w:rsidDel="00000000" w:rsidR="00000000" w:rsidRPr="00000000">
              <w:rPr>
                <w:rFonts w:ascii="Calibri" w:cs="Calibri" w:eastAsia="Calibri" w:hAnsi="Calibri"/>
                <w:sz w:val="24"/>
                <w:szCs w:val="24"/>
                <w:rtl w:val="0"/>
              </w:rPr>
              <w:t xml:space="preserve">, Week 1</w:t>
            </w:r>
          </w:p>
        </w:tc>
        <w:tc>
          <w:tcPr>
            <w:tcMar>
              <w:top w:w="100.0" w:type="dxa"/>
              <w:left w:w="100.0" w:type="dxa"/>
              <w:bottom w:w="100.0" w:type="dxa"/>
              <w:right w:w="100.0" w:type="dxa"/>
            </w:tcMar>
          </w:tcPr>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Music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and Neuroscience</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TED Talk: Anita Collins</w:t>
            </w:r>
          </w:p>
          <w:p w:rsidR="00000000" w:rsidDel="00000000" w:rsidP="00000000" w:rsidRDefault="00000000" w:rsidRPr="00000000" w14:paraId="0000006B">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Activity: Brain diagram</w:t>
            </w:r>
          </w:p>
          <w:p w:rsidR="00000000" w:rsidDel="00000000" w:rsidP="00000000" w:rsidRDefault="00000000" w:rsidRPr="00000000" w14:paraId="0000006C">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Activity: Categorising neural pathways</w:t>
            </w:r>
          </w:p>
          <w:p w:rsidR="00000000" w:rsidDel="00000000" w:rsidP="00000000" w:rsidRDefault="00000000" w:rsidRPr="00000000" w14:paraId="0000006D">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Fact sheets: Myths of neuroscience and music</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6E">
            <w:pPr>
              <w:tabs>
                <w:tab w:val="left" w:pos="2738"/>
              </w:tabs>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 Tuesday January 5th, 9:30am - 12:30pm</w:t>
            </w:r>
          </w:p>
          <w:p w:rsidR="00000000" w:rsidDel="00000000" w:rsidP="00000000" w:rsidRDefault="00000000" w:rsidRPr="00000000" w14:paraId="0000006F">
            <w:pPr>
              <w:tabs>
                <w:tab w:val="left" w:pos="2738"/>
              </w:tabs>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  Tuesday January 5th, 12:30pm - 4:30pm, Week 2</w:t>
            </w:r>
          </w:p>
        </w:tc>
        <w:tc>
          <w:tcPr>
            <w:tcMar>
              <w:top w:w="100.0" w:type="dxa"/>
              <w:left w:w="100.0" w:type="dxa"/>
              <w:bottom w:w="100.0" w:type="dxa"/>
              <w:right w:w="100.0" w:type="dxa"/>
            </w:tcMar>
          </w:tcPr>
          <w:p w:rsidR="00000000" w:rsidDel="00000000" w:rsidP="00000000" w:rsidRDefault="00000000" w:rsidRPr="00000000" w14:paraId="00000070">
            <w:pPr>
              <w:tabs>
                <w:tab w:val="left" w:pos="2738"/>
              </w:tabs>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Music and Neuroscience continued</w:t>
            </w:r>
          </w:p>
          <w:p w:rsidR="00000000" w:rsidDel="00000000" w:rsidP="00000000" w:rsidRDefault="00000000" w:rsidRPr="00000000" w14:paraId="00000071">
            <w:pPr>
              <w:tabs>
                <w:tab w:val="left" w:pos="2738"/>
              </w:tabs>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 to Music Therapy</w:t>
            </w:r>
            <w:r w:rsidDel="00000000" w:rsidR="00000000" w:rsidRPr="00000000">
              <w:rPr>
                <w:rtl w:val="0"/>
              </w:rPr>
            </w:r>
          </w:p>
        </w:tc>
        <w:tc>
          <w:tcPr/>
          <w:p w:rsidR="00000000" w:rsidDel="00000000" w:rsidP="00000000" w:rsidRDefault="00000000" w:rsidRPr="00000000" w14:paraId="0000007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Video: What is Music Therapy</w:t>
            </w:r>
          </w:p>
          <w:p w:rsidR="00000000" w:rsidDel="00000000" w:rsidP="00000000" w:rsidRDefault="00000000" w:rsidRPr="00000000" w14:paraId="00000073">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Guest Speaker: Music Therapist from Adelaide </w:t>
            </w:r>
          </w:p>
          <w:p w:rsidR="00000000" w:rsidDel="00000000" w:rsidP="00000000" w:rsidRDefault="00000000" w:rsidRPr="00000000" w14:paraId="0000007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Ted Talk: Erin Seibert </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75">
            <w:pPr>
              <w:tabs>
                <w:tab w:val="left" w:pos="273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Wednesday January 6th, 9:30am - 12:30pm</w:t>
            </w:r>
          </w:p>
          <w:p w:rsidR="00000000" w:rsidDel="00000000" w:rsidP="00000000" w:rsidRDefault="00000000" w:rsidRPr="00000000" w14:paraId="00000076">
            <w:pPr>
              <w:tabs>
                <w:tab w:val="left" w:pos="273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  Wednesday January 6th,  12:30pm - 4:30pm, Week 2</w:t>
            </w:r>
          </w:p>
        </w:tc>
        <w:tc>
          <w:tcPr>
            <w:tcMar>
              <w:top w:w="100.0" w:type="dxa"/>
              <w:left w:w="100.0" w:type="dxa"/>
              <w:bottom w:w="100.0" w:type="dxa"/>
              <w:right w:w="100.0" w:type="dxa"/>
            </w:tcMar>
          </w:tcPr>
          <w:p w:rsidR="00000000" w:rsidDel="00000000" w:rsidP="00000000" w:rsidRDefault="00000000" w:rsidRPr="00000000" w14:paraId="00000077">
            <w:pPr>
              <w:tabs>
                <w:tab w:val="left" w:pos="2738"/>
              </w:tabs>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Music Therapy Approaches </w:t>
            </w:r>
            <w:r w:rsidDel="00000000" w:rsidR="00000000" w:rsidRPr="00000000">
              <w:rPr>
                <w:rtl w:val="0"/>
              </w:rPr>
            </w:r>
          </w:p>
        </w:tc>
        <w:tc>
          <w:tcPr/>
          <w:p w:rsidR="00000000" w:rsidDel="00000000" w:rsidP="00000000" w:rsidRDefault="00000000" w:rsidRPr="00000000" w14:paraId="00000078">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Venn diagram / comparative table on the approaches.</w:t>
            </w:r>
          </w:p>
          <w:p w:rsidR="00000000" w:rsidDel="00000000" w:rsidP="00000000" w:rsidRDefault="00000000" w:rsidRPr="00000000" w14:paraId="0000007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Activity: engaging in a music therapy </w:t>
            </w:r>
          </w:p>
          <w:p w:rsidR="00000000" w:rsidDel="00000000" w:rsidP="00000000" w:rsidRDefault="00000000" w:rsidRPr="00000000" w14:paraId="0000007A">
            <w:pPr>
              <w:spacing w:line="240" w:lineRule="auto"/>
              <w:rPr>
                <w:rFonts w:ascii="Calibri" w:cs="Calibri" w:eastAsia="Calibri" w:hAnsi="Calibri"/>
                <w:b w:val="1"/>
                <w:smallCaps w:val="1"/>
                <w:color w:val="000000"/>
                <w:sz w:val="20"/>
                <w:szCs w:val="20"/>
              </w:rPr>
            </w:pPr>
            <w:r w:rsidDel="00000000" w:rsidR="00000000" w:rsidRPr="00000000">
              <w:rPr>
                <w:rFonts w:ascii="Calibri" w:cs="Calibri" w:eastAsia="Calibri" w:hAnsi="Calibri"/>
                <w:color w:val="000000"/>
                <w:sz w:val="20"/>
                <w:szCs w:val="20"/>
                <w:rtl w:val="0"/>
              </w:rPr>
              <w:t xml:space="preserve">Research task: choose a disorder and how music can aid development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 Thursday 7th January 2021, 9:30am - 12:30pm</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c>
          <w:tcPr>
            <w:tcMar>
              <w:top w:w="100.0" w:type="dxa"/>
              <w:left w:w="100.0" w:type="dxa"/>
              <w:bottom w:w="100.0" w:type="dxa"/>
              <w:right w:w="100.0" w:type="dxa"/>
            </w:tcMar>
          </w:tcPr>
          <w:p w:rsidR="00000000" w:rsidDel="00000000" w:rsidP="00000000" w:rsidRDefault="00000000" w:rsidRPr="00000000" w14:paraId="0000007D">
            <w:pP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Adolescents and Music</w:t>
            </w:r>
            <w:r w:rsidDel="00000000" w:rsidR="00000000" w:rsidRPr="00000000">
              <w:rPr>
                <w:rtl w:val="0"/>
              </w:rPr>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Task: Narrative approaches to qualitative inquiry in music</w:t>
            </w:r>
          </w:p>
        </w:tc>
      </w:tr>
      <w:tr>
        <w:tc>
          <w:tcPr>
            <w:tcMar>
              <w:top w:w="100.0" w:type="dxa"/>
              <w:left w:w="100.0" w:type="dxa"/>
              <w:bottom w:w="100.0" w:type="dxa"/>
              <w:right w:w="100.0" w:type="dxa"/>
            </w:tcM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9 - Online Content* TBC</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Music Performance Anxiety</w:t>
            </w:r>
            <w:r w:rsidDel="00000000" w:rsidR="00000000" w:rsidRPr="00000000">
              <w:rPr>
                <w:rtl w:val="0"/>
              </w:rPr>
            </w:r>
          </w:p>
        </w:tc>
        <w:tc>
          <w:tcPr/>
          <w:p w:rsidR="00000000" w:rsidDel="00000000" w:rsidP="00000000" w:rsidRDefault="00000000" w:rsidRPr="00000000" w14:paraId="00000081">
            <w:pPr>
              <w:spacing w:line="24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Task: list of symptoms under categories </w:t>
            </w: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Video: ASME Performance Anxiety Video </w:t>
            </w:r>
          </w:p>
        </w:tc>
      </w:tr>
      <w:tr>
        <w:tc>
          <w:tcPr>
            <w:tcMar>
              <w:top w:w="100.0" w:type="dxa"/>
              <w:left w:w="100.0" w:type="dxa"/>
              <w:bottom w:w="100.0" w:type="dxa"/>
              <w:right w:w="100.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workshop: Tuesday January 12th, 9:30am - 12:30pm</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3</w:t>
            </w:r>
          </w:p>
        </w:tc>
        <w:tc>
          <w:tcPr>
            <w:tcMar>
              <w:top w:w="100.0" w:type="dxa"/>
              <w:left w:w="100.0" w:type="dxa"/>
              <w:bottom w:w="100.0" w:type="dxa"/>
              <w:right w:w="100.0" w:type="dxa"/>
            </w:tcM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Research in Music Psychology</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142"/>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your research </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142"/>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ethods of research</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142"/>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Literature review</w:t>
            </w:r>
            <w:r w:rsidDel="00000000" w:rsidR="00000000" w:rsidRPr="00000000">
              <w:rPr>
                <w:rtl w:val="0"/>
              </w:rPr>
            </w:r>
          </w:p>
        </w:tc>
        <w:tc>
          <w:tcPr/>
          <w:p w:rsidR="00000000" w:rsidDel="00000000" w:rsidP="00000000" w:rsidRDefault="00000000" w:rsidRPr="00000000" w14:paraId="00000089">
            <w:pPr>
              <w:spacing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Research proposal </w:t>
            </w:r>
          </w:p>
        </w:tc>
      </w:tr>
      <w:tr>
        <w:tc>
          <w:tcPr>
            <w:tcMar>
              <w:top w:w="100.0" w:type="dxa"/>
              <w:left w:w="100.0" w:type="dxa"/>
              <w:bottom w:w="100.0" w:type="dxa"/>
              <w:right w:w="100.0" w:type="dxa"/>
            </w:tcMar>
          </w:tcPr>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 Thursday 7th January 2021, 12:30pm - 4:30pm</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 2</w:t>
            </w:r>
          </w:p>
        </w:tc>
        <w:tc>
          <w:tcPr>
            <w:tcMar>
              <w:top w:w="100.0" w:type="dxa"/>
              <w:left w:w="100.0" w:type="dxa"/>
              <w:bottom w:w="100.0" w:type="dxa"/>
              <w:right w:w="100.0" w:type="dxa"/>
            </w:tcMar>
          </w:tcPr>
          <w:p w:rsidR="00000000" w:rsidDel="00000000" w:rsidP="00000000" w:rsidRDefault="00000000" w:rsidRPr="00000000" w14:paraId="0000008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Overall benefits of music </w:t>
            </w:r>
          </w:p>
          <w:p w:rsidR="00000000" w:rsidDel="00000000" w:rsidP="00000000" w:rsidRDefault="00000000" w:rsidRPr="00000000" w14:paraId="0000008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Music advocacy</w:t>
            </w:r>
            <w:r w:rsidDel="00000000" w:rsidR="00000000" w:rsidRPr="00000000">
              <w:rPr>
                <w:rtl w:val="0"/>
              </w:rPr>
            </w:r>
          </w:p>
        </w:tc>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Video: Singing and the Brain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Task: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Music advocacy speech</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Activity: Class singing</w:t>
            </w:r>
          </w:p>
        </w:tc>
      </w:tr>
    </w:tbl>
    <w:p w:rsidR="00000000" w:rsidDel="00000000" w:rsidP="00000000" w:rsidRDefault="00000000" w:rsidRPr="00000000" w14:paraId="00000091">
      <w:pPr>
        <w:rPr>
          <w:rFonts w:ascii="Calibri" w:cs="Calibri" w:eastAsia="Calibri" w:hAnsi="Calibri"/>
          <w:b w:val="1"/>
          <w:color w:val="38761d"/>
          <w:sz w:val="24"/>
          <w:szCs w:val="24"/>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color w:val="7030a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3">
      <w:pPr>
        <w:rPr>
          <w:rFonts w:ascii="Calibri" w:cs="Calibri" w:eastAsia="Calibri" w:hAnsi="Calibri"/>
          <w:color w:val="7030a0"/>
          <w:sz w:val="24"/>
          <w:szCs w:val="24"/>
        </w:rPr>
      </w:pPr>
      <w:r w:rsidDel="00000000" w:rsidR="00000000" w:rsidRPr="00000000">
        <w:rPr>
          <w:rFonts w:ascii="Calibri" w:cs="Calibri" w:eastAsia="Calibri" w:hAnsi="Calibri"/>
          <w:b w:val="1"/>
          <w:color w:val="7030a0"/>
          <w:sz w:val="24"/>
          <w:szCs w:val="24"/>
          <w:rtl w:val="0"/>
        </w:rPr>
        <w:t xml:space="preserve">Assessment Dates</w:t>
      </w:r>
      <w:r w:rsidDel="00000000" w:rsidR="00000000" w:rsidRPr="00000000">
        <w:rPr>
          <w:rtl w:val="0"/>
        </w:rPr>
      </w:r>
    </w:p>
    <w:tbl>
      <w:tblPr>
        <w:tblStyle w:val="Table5"/>
        <w:tblW w:w="9360.0" w:type="dxa"/>
        <w:jc w:val="left"/>
        <w:tblInd w:w="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14:paraId="0000009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 1: Literature Review</w:t>
            </w:r>
          </w:p>
        </w:tc>
        <w:tc>
          <w:tcPr>
            <w:tcMar>
              <w:top w:w="100.0" w:type="dxa"/>
              <w:left w:w="100.0" w:type="dxa"/>
              <w:bottom w:w="100.0" w:type="dxa"/>
              <w:right w:w="100.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Staggered</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 2: Music Advocacy Presentation </w:t>
            </w:r>
          </w:p>
        </w:tc>
        <w:tc>
          <w:tcPr>
            <w:tcMar>
              <w:top w:w="100.0" w:type="dxa"/>
              <w:left w:w="100.0" w:type="dxa"/>
              <w:bottom w:w="100.0" w:type="dxa"/>
              <w:right w:w="100.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9am, 1st February 2021 </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9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 3: Weekly class activities </w:t>
            </w:r>
          </w:p>
        </w:tc>
        <w:tc>
          <w:tcPr>
            <w:tcMar>
              <w:top w:w="100.0" w:type="dxa"/>
              <w:left w:w="100.0" w:type="dxa"/>
              <w:bottom w:w="100.0" w:type="dxa"/>
              <w:right w:w="100.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Ongoing </w:t>
            </w:r>
          </w:p>
        </w:tc>
      </w:tr>
    </w:tb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ASSESSMENT TASKS Descriptions</w:t>
      </w:r>
      <w:r w:rsidDel="00000000" w:rsidR="00000000" w:rsidRPr="00000000">
        <w:rPr>
          <w:rtl w:val="0"/>
        </w:rPr>
      </w:r>
    </w:p>
    <w:tbl>
      <w:tblPr>
        <w:tblStyle w:val="Table6"/>
        <w:tblW w:w="9356.0" w:type="dxa"/>
        <w:jc w:val="left"/>
        <w:tblInd w:w="108.0" w:type="dxa"/>
        <w:tblBorders>
          <w:top w:color="31849b" w:space="0" w:sz="4" w:val="single"/>
          <w:left w:color="31849b" w:space="0" w:sz="4" w:val="single"/>
          <w:bottom w:color="31849b" w:space="0" w:sz="4" w:val="single"/>
          <w:right w:color="31849b" w:space="0" w:sz="4" w:val="single"/>
          <w:insideH w:color="31849b" w:space="0" w:sz="4" w:val="single"/>
          <w:insideV w:color="31849b" w:space="0" w:sz="4" w:val="single"/>
        </w:tblBorders>
        <w:tblLayout w:type="fixed"/>
        <w:tblLook w:val="0000"/>
      </w:tblPr>
      <w:tblGrid>
        <w:gridCol w:w="3856"/>
        <w:gridCol w:w="2127"/>
        <w:gridCol w:w="1701"/>
        <w:gridCol w:w="1672"/>
        <w:tblGridChange w:id="0">
          <w:tblGrid>
            <w:gridCol w:w="3856"/>
            <w:gridCol w:w="2127"/>
            <w:gridCol w:w="1701"/>
            <w:gridCol w:w="1672"/>
          </w:tblGrid>
        </w:tblGridChange>
      </w:tblGrid>
      <w:tr>
        <w:trPr>
          <w:trHeight w:val="397" w:hRule="atLeast"/>
        </w:trPr>
        <w:tc>
          <w:tcPr>
            <w:gridSpan w:val="4"/>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Assessment tasks</w:t>
            </w:r>
          </w:p>
        </w:tc>
      </w:tr>
      <w:tr>
        <w:trPr>
          <w:trHeight w:val="600" w:hRule="atLeast"/>
        </w:trPr>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Type (1)</w:t>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When assessed </w:t>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Weighting</w:t>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rtl w:val="0"/>
              </w:rPr>
              <w:t xml:space="preserve">L</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earning outcomes</w:t>
            </w:r>
          </w:p>
        </w:tc>
      </w:tr>
      <w:tr>
        <w:trPr>
          <w:trHeight w:val="397" w:hRule="atLeast"/>
        </w:trPr>
        <w:tc>
          <w:tcPr>
            <w:tcBorders>
              <w:top w:color="7030a0" w:space="0" w:sz="4" w:val="single"/>
              <w:left w:color="7030a0" w:space="0" w:sz="4" w:val="single"/>
              <w:bottom w:color="7030a0" w:space="0" w:sz="8" w:val="single"/>
              <w:right w:color="7030a0" w:space="0" w:sz="4" w:val="single"/>
            </w:tcBorders>
          </w:tcPr>
          <w:p w:rsidR="00000000" w:rsidDel="00000000" w:rsidP="00000000" w:rsidRDefault="00000000" w:rsidRPr="00000000" w14:paraId="000000A4">
            <w:pPr>
              <w:tabs>
                <w:tab w:val="left" w:pos="284"/>
              </w:tabs>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Literature Review</w:t>
            </w:r>
            <w:r w:rsidDel="00000000" w:rsidR="00000000" w:rsidRPr="00000000">
              <w:rPr>
                <w:rFonts w:ascii="Calibri" w:cs="Calibri" w:eastAsia="Calibri" w:hAnsi="Calibri"/>
                <w:sz w:val="24"/>
                <w:szCs w:val="24"/>
                <w:rtl w:val="0"/>
              </w:rPr>
              <w:t xml:space="preserve"> (2000 words)</w:t>
            </w:r>
          </w:p>
          <w:p w:rsidR="00000000" w:rsidDel="00000000" w:rsidP="00000000" w:rsidRDefault="00000000" w:rsidRPr="00000000" w14:paraId="000000A5">
            <w:pPr>
              <w:tabs>
                <w:tab w:val="left" w:pos="284"/>
              </w:tabs>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critique and synthesise literature regarding the relationship between psychology and music and its impact in an area of their choice.</w:t>
            </w:r>
          </w:p>
          <w:p w:rsidR="00000000" w:rsidDel="00000000" w:rsidP="00000000" w:rsidRDefault="00000000" w:rsidRPr="00000000" w14:paraId="000000A6">
            <w:pPr>
              <w:tabs>
                <w:tab w:val="left" w:pos="284"/>
              </w:tabs>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Submission is staggered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sz w:val="24"/>
                <w:szCs w:val="24"/>
              </w:rPr>
            </w:pPr>
            <w:r w:rsidDel="00000000" w:rsidR="00000000" w:rsidRPr="00000000">
              <w:rPr>
                <w:rtl w:val="0"/>
              </w:rPr>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Weeks 2-8 of course</w:t>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r>
      <w:tr>
        <w:trPr>
          <w:trHeight w:val="397" w:hRule="atLeast"/>
        </w:trPr>
        <w:tc>
          <w:tcPr>
            <w:tcBorders>
              <w:top w:color="7030a0" w:space="0" w:sz="8" w:val="single"/>
              <w:left w:color="7030a0" w:space="0" w:sz="8" w:val="single"/>
              <w:bottom w:color="7030a0" w:space="0" w:sz="8" w:val="single"/>
              <w:right w:color="7030a0" w:space="0" w:sz="8" w:val="single"/>
            </w:tcBorders>
            <w:tcMar>
              <w:top w:w="100.0" w:type="dxa"/>
              <w:left w:w="100.0" w:type="dxa"/>
              <w:bottom w:w="100.0" w:type="dxa"/>
              <w:right w:w="100.0" w:type="dxa"/>
            </w:tcMar>
            <w:vAlign w:val="top"/>
          </w:tcPr>
          <w:p w:rsidR="00000000" w:rsidDel="00000000" w:rsidP="00000000" w:rsidRDefault="00000000" w:rsidRPr="00000000" w14:paraId="000000AB">
            <w:pPr>
              <w:tabs>
                <w:tab w:val="left" w:pos="284"/>
              </w:tabs>
              <w:spacing w:after="60" w:before="60" w:line="240" w:lineRule="auto"/>
              <w:ind w:right="60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Music Advocacy Presentation</w:t>
            </w:r>
            <w:r w:rsidDel="00000000" w:rsidR="00000000" w:rsidRPr="00000000">
              <w:rPr>
                <w:rFonts w:ascii="Calibri" w:cs="Calibri" w:eastAsia="Calibri" w:hAnsi="Calibri"/>
                <w:sz w:val="24"/>
                <w:szCs w:val="24"/>
                <w:rtl w:val="0"/>
              </w:rPr>
              <w:t xml:space="preserve"> (2000 words)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required to create a music advocacy presentation of 2000 words or multi-modal equivalent. Students are to choose an area of interest to creatively present their findings about the importance of music in society.</w:t>
            </w:r>
          </w:p>
        </w:tc>
        <w:tc>
          <w:tcPr>
            <w:tcBorders>
              <w:top w:color="7030a0" w:space="0" w:sz="4" w:val="single"/>
              <w:left w:color="7030a0" w:space="0" w:sz="8" w:val="single"/>
              <w:bottom w:color="7030a0" w:space="0" w:sz="4" w:val="single"/>
              <w:right w:color="7030a0" w:space="0" w:sz="4" w:val="single"/>
            </w:tcBorders>
          </w:tcPr>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9am, 1st February 2021</w:t>
            </w:r>
          </w:p>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tl w:val="0"/>
              </w:rPr>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1,2, 3</w:t>
            </w:r>
          </w:p>
        </w:tc>
      </w:tr>
      <w:tr>
        <w:trPr>
          <w:trHeight w:val="397" w:hRule="atLeast"/>
        </w:trPr>
        <w:tc>
          <w:tcPr>
            <w:tcBorders>
              <w:top w:color="7030a0" w:space="0" w:sz="8" w:val="single"/>
              <w:left w:color="7030a0" w:space="0" w:sz="4" w:val="single"/>
              <w:bottom w:color="7030a0" w:space="0" w:sz="4" w:val="single"/>
              <w:right w:color="7030a0" w:space="0" w:sz="4" w:val="single"/>
            </w:tcBorders>
          </w:tcPr>
          <w:p w:rsidR="00000000" w:rsidDel="00000000" w:rsidP="00000000" w:rsidRDefault="00000000" w:rsidRPr="00000000" w14:paraId="000000B2">
            <w:pPr>
              <w:tabs>
                <w:tab w:val="left" w:pos="284"/>
              </w:tabs>
              <w:spacing w:after="60" w:before="60" w:line="240" w:lineRule="auto"/>
              <w:ind w:right="60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activities</w:t>
            </w:r>
          </w:p>
          <w:p w:rsidR="00000000" w:rsidDel="00000000" w:rsidP="00000000" w:rsidRDefault="00000000" w:rsidRPr="00000000" w14:paraId="000000B3">
            <w:pPr>
              <w:tabs>
                <w:tab w:val="left" w:pos="284"/>
              </w:tabs>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Exercises, forum posts and activities that encompass the concepts and theory from lectures.</w:t>
            </w:r>
          </w:p>
          <w:p w:rsidR="00000000" w:rsidDel="00000000" w:rsidP="00000000" w:rsidRDefault="00000000" w:rsidRPr="00000000" w14:paraId="000000B4">
            <w:pPr>
              <w:tabs>
                <w:tab w:val="left" w:pos="284"/>
              </w:tabs>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sz w:val="24"/>
                <w:szCs w:val="24"/>
              </w:rPr>
            </w:pPr>
            <w:r w:rsidDel="00000000" w:rsidR="00000000" w:rsidRPr="00000000">
              <w:rPr>
                <w:rtl w:val="0"/>
              </w:rPr>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w:t>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60" w:before="6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tcBorders>
              <w:top w:color="7030a0" w:space="0" w:sz="4" w:val="single"/>
              <w:left w:color="7030a0" w:space="0" w:sz="4" w:val="single"/>
              <w:bottom w:color="7030a0" w:space="0" w:sz="4" w:val="single"/>
              <w:right w:color="7030a0" w:space="0" w:sz="4" w:val="single"/>
            </w:tcBorders>
          </w:tcPr>
          <w:p w:rsidR="00000000" w:rsidDel="00000000" w:rsidP="00000000" w:rsidRDefault="00000000" w:rsidRPr="00000000" w14:paraId="000000B9">
            <w:pPr>
              <w:tabs>
                <w:tab w:val="left" w:pos="284"/>
              </w:tabs>
              <w:spacing w:after="60" w:before="6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1,2, 3</w:t>
            </w:r>
          </w:p>
        </w:tc>
      </w:tr>
    </w:tb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0" w:line="240" w:lineRule="auto"/>
        <w:ind w:left="0" w:right="-142" w:firstLine="0"/>
        <w:jc w:val="left"/>
        <w:rPr>
          <w:rFonts w:ascii="Calibri" w:cs="Calibri" w:eastAsia="Calibri" w:hAnsi="Calibri"/>
          <w:b w:val="0"/>
          <w:i w:val="1"/>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2"/>
        <w:keepNext w:val="0"/>
        <w:keepLines w:val="0"/>
        <w:spacing w:after="80" w:before="120" w:lineRule="auto"/>
        <w:rPr>
          <w:rFonts w:ascii="Calibri" w:cs="Calibri" w:eastAsia="Calibri" w:hAnsi="Calibri"/>
          <w:sz w:val="22"/>
          <w:szCs w:val="22"/>
        </w:rPr>
      </w:pPr>
      <w:bookmarkStart w:colFirst="0" w:colLast="0" w:name="_heading=h.5uosuwj6wbdu" w:id="0"/>
      <w:bookmarkEnd w:id="0"/>
      <w:r w:rsidDel="00000000" w:rsidR="00000000" w:rsidRPr="00000000">
        <w:rPr>
          <w:rFonts w:ascii="Calibri" w:cs="Calibri" w:eastAsia="Calibri" w:hAnsi="Calibri"/>
          <w:sz w:val="22"/>
          <w:szCs w:val="22"/>
          <w:rtl w:val="0"/>
        </w:rPr>
        <w:t xml:space="preserve">Requirements for Successful Completion of This Subject Are:</w:t>
      </w:r>
    </w:p>
    <w:p w:rsidR="00000000" w:rsidDel="00000000" w:rsidP="00000000" w:rsidRDefault="00000000" w:rsidRPr="00000000" w14:paraId="000000BD">
      <w:pPr>
        <w:spacing w:before="240" w:lineRule="auto"/>
        <w:rPr>
          <w:rFonts w:ascii="Calibri" w:cs="Calibri" w:eastAsia="Calibri" w:hAnsi="Calibri"/>
        </w:rPr>
      </w:pPr>
      <w:r w:rsidDel="00000000" w:rsidR="00000000" w:rsidRPr="00000000">
        <w:rPr>
          <w:rFonts w:ascii="Calibri" w:cs="Calibri" w:eastAsia="Calibri" w:hAnsi="Calibri"/>
          <w:rtl w:val="0"/>
        </w:rPr>
        <w:t xml:space="preserve">The minimum overall passing grade in this subject is 80%. Students are encouraged to look closely at the assignment tasks, due dates and relevant percentages. Students should also be aware that various information, instructions and informal feedback relevant to the successful completion of assignments is embedded within the classroom and/or online teaching that students are expected to attend and engage with. Students who choose low levels of attendance, practice and participation will correspondingly place themselves at risk of lower achiever levels in the assignment process</w:t>
      </w:r>
    </w:p>
    <w:p w:rsidR="00000000" w:rsidDel="00000000" w:rsidP="00000000" w:rsidRDefault="00000000" w:rsidRPr="00000000" w14:paraId="000000BE">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Semester Program</w:t>
      </w:r>
    </w:p>
    <w:p w:rsidR="00000000" w:rsidDel="00000000" w:rsidP="00000000" w:rsidRDefault="00000000" w:rsidRPr="00000000" w14:paraId="000000BF">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Attendance and participation expectations – internal students: </w:t>
      </w:r>
      <w:r w:rsidDel="00000000" w:rsidR="00000000" w:rsidRPr="00000000">
        <w:rPr>
          <w:rFonts w:ascii="Calibri" w:cs="Calibri" w:eastAsia="Calibri" w:hAnsi="Calibri"/>
          <w:rtl w:val="0"/>
        </w:rPr>
        <w:t xml:space="preserve">Internal students are expected to</w:t>
      </w:r>
      <w:r w:rsidDel="00000000" w:rsidR="00000000" w:rsidRPr="00000000">
        <w:rPr>
          <w:rFonts w:ascii="Calibri" w:cs="Calibri" w:eastAsia="Calibri" w:hAnsi="Calibri"/>
          <w:rtl w:val="0"/>
        </w:rPr>
        <w:t xml:space="preserve"> attend all contact sessions (lectures/tutorials) </w:t>
      </w:r>
      <w:r w:rsidDel="00000000" w:rsidR="00000000" w:rsidRPr="00000000">
        <w:rPr>
          <w:rFonts w:ascii="Calibri" w:cs="Calibri" w:eastAsia="Calibri" w:hAnsi="Calibri"/>
          <w:rtl w:val="0"/>
        </w:rPr>
        <w:t xml:space="preserve">to enhance the quality of their learning and experience of community on campus. Students should note that some contact sessions will be utilised for further clarification and explanation of assessment work and aspects of the peer collaboration and assessment.  </w:t>
      </w:r>
    </w:p>
    <w:p w:rsidR="00000000" w:rsidDel="00000000" w:rsidP="00000000" w:rsidRDefault="00000000" w:rsidRPr="00000000" w14:paraId="000000C0">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Adult education principles in relation to attendance and participation: </w:t>
      </w:r>
      <w:r w:rsidDel="00000000" w:rsidR="00000000" w:rsidRPr="00000000">
        <w:rPr>
          <w:rFonts w:ascii="Calibri" w:cs="Calibri" w:eastAsia="Calibri" w:hAnsi="Calibri"/>
          <w:rtl w:val="0"/>
        </w:rPr>
        <w:t xml:space="preserve">This summer school intensive </w:t>
      </w:r>
      <w:r w:rsidDel="00000000" w:rsidR="00000000" w:rsidRPr="00000000">
        <w:rPr>
          <w:rFonts w:ascii="Calibri" w:cs="Calibri" w:eastAsia="Calibri" w:hAnsi="Calibri"/>
          <w:rtl w:val="0"/>
        </w:rPr>
        <w:t xml:space="preserve">requires self-direction, high levels of motivation, commitment and self-directed learning.  The lecturer will not make extra time to explain or manage information that students can reasonably access through the class and/or online contact and lessons, except in occasional cases where circumstances such as sickness, accident or significant crisis have prevented the student for access.</w:t>
      </w:r>
    </w:p>
    <w:p w:rsidR="00000000" w:rsidDel="00000000" w:rsidP="00000000" w:rsidRDefault="00000000" w:rsidRPr="00000000" w14:paraId="000000C1">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Assessments</w:t>
      </w:r>
    </w:p>
    <w:p w:rsidR="00000000" w:rsidDel="00000000" w:rsidP="00000000" w:rsidRDefault="00000000" w:rsidRPr="00000000" w14:paraId="000000C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Students are expected to submit all their assignments via the Tabor Online website unless otherwise directed by the lecturer. Students are normally encouraged to exchange ideas and advice on assignment work. The lecturer is also prepared to consult with students about their research and their assignments. It is important, however, that each piece of submitted work is the student’s own work (or the product of collaboration in relation to group assignments). Further policy information regarding academic support and what constitutes academic misconduct (e.g. plagiarism) can be found on the Tabor Adelaide website.</w:t>
      </w:r>
    </w:p>
    <w:p w:rsidR="00000000" w:rsidDel="00000000" w:rsidP="00000000" w:rsidRDefault="00000000" w:rsidRPr="00000000" w14:paraId="000000C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Students will find resources to help them in their assessment work by going to the Student Academic Helpdesk via Tabor Online. Students needing additional academic support should contact their lecturer and/or administration desk of the School of Humanities and Social Sciences, to receive information on the various avenues of support available to students of Tabor Adelaide.</w:t>
      </w:r>
    </w:p>
    <w:p w:rsidR="00000000" w:rsidDel="00000000" w:rsidP="00000000" w:rsidRDefault="00000000" w:rsidRPr="00000000" w14:paraId="000000C4">
      <w:pPr>
        <w:pStyle w:val="Heading2"/>
        <w:keepNext w:val="0"/>
        <w:keepLines w:val="0"/>
        <w:spacing w:after="80" w:before="120" w:lineRule="auto"/>
        <w:rPr>
          <w:rFonts w:ascii="Calibri" w:cs="Calibri" w:eastAsia="Calibri" w:hAnsi="Calibri"/>
          <w:sz w:val="22"/>
          <w:szCs w:val="22"/>
        </w:rPr>
      </w:pPr>
      <w:bookmarkStart w:colFirst="0" w:colLast="0" w:name="_heading=h.hwvefewldigp" w:id="1"/>
      <w:bookmarkEnd w:id="1"/>
      <w:r w:rsidDel="00000000" w:rsidR="00000000" w:rsidRPr="00000000">
        <w:rPr>
          <w:rFonts w:ascii="Calibri" w:cs="Calibri" w:eastAsia="Calibri" w:hAnsi="Calibri"/>
          <w:sz w:val="22"/>
          <w:szCs w:val="22"/>
          <w:rtl w:val="0"/>
        </w:rPr>
        <w:t xml:space="preserve">Formatting Requirements</w:t>
      </w:r>
    </w:p>
    <w:p w:rsidR="00000000" w:rsidDel="00000000" w:rsidP="00000000" w:rsidRDefault="00000000" w:rsidRPr="00000000" w14:paraId="000000C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APA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style guide should be followed in relation to any information references in written work for assessments two and three in this subject. This guide is accessible through Tabor Online.</w:t>
      </w:r>
    </w:p>
    <w:p w:rsidR="00000000" w:rsidDel="00000000" w:rsidP="00000000" w:rsidRDefault="00000000" w:rsidRPr="00000000" w14:paraId="000000C6">
      <w:pPr>
        <w:pStyle w:val="Heading2"/>
        <w:keepNext w:val="0"/>
        <w:keepLines w:val="0"/>
        <w:spacing w:after="80" w:before="120" w:lineRule="auto"/>
        <w:rPr>
          <w:rFonts w:ascii="Calibri" w:cs="Calibri" w:eastAsia="Calibri" w:hAnsi="Calibri"/>
          <w:sz w:val="22"/>
          <w:szCs w:val="22"/>
        </w:rPr>
      </w:pPr>
      <w:bookmarkStart w:colFirst="0" w:colLast="0" w:name="_heading=h.gzt7uiwh2f50" w:id="2"/>
      <w:bookmarkEnd w:id="2"/>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2"/>
        <w:keepNext w:val="0"/>
        <w:keepLines w:val="0"/>
        <w:spacing w:after="80" w:before="120" w:lineRule="auto"/>
        <w:rPr>
          <w:rFonts w:ascii="Calibri" w:cs="Calibri" w:eastAsia="Calibri" w:hAnsi="Calibri"/>
          <w:sz w:val="22"/>
          <w:szCs w:val="22"/>
        </w:rPr>
      </w:pPr>
      <w:bookmarkStart w:colFirst="0" w:colLast="0" w:name="_heading=h.xjw208d4r605" w:id="3"/>
      <w:bookmarkEnd w:id="3"/>
      <w:r w:rsidDel="00000000" w:rsidR="00000000" w:rsidRPr="00000000">
        <w:rPr>
          <w:rFonts w:ascii="Calibri" w:cs="Calibri" w:eastAsia="Calibri" w:hAnsi="Calibri"/>
          <w:sz w:val="22"/>
          <w:szCs w:val="22"/>
          <w:rtl w:val="0"/>
        </w:rPr>
        <w:t xml:space="preserve">Turnitin</w:t>
      </w:r>
    </w:p>
    <w:p w:rsidR="00000000" w:rsidDel="00000000" w:rsidP="00000000" w:rsidRDefault="00000000" w:rsidRPr="00000000" w14:paraId="000000C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Along with many Australian Universities, Tabor Adelaide uses Turnitin software to ensure academic integrity of submitted assignments. Turnitin software works by comparing a student’s submission against the world’s largest comparison database. Students are able to check their submission using the Turnitin software before submitting their assignment for grading; this allows students to revise their assignment if any inadvertent plagiarism is detected. Academic misconduct involves any action that compromises the integrity of an assessment item including the submission of work that is not sufficiently original to the student, i.e., plagiarism.</w:t>
      </w:r>
    </w:p>
    <w:p w:rsidR="00000000" w:rsidDel="00000000" w:rsidP="00000000" w:rsidRDefault="00000000" w:rsidRPr="00000000" w14:paraId="000000C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Academic scholarship is a community effort. It is rare, therefore, for a submitted assignment not to draw upon the research or insight of others. But it is crucial to the integrity of the submission that the source of all research, insight, or quotations not original to the student be clearly identified. Plagiarism is the term used to describe the submission of another’s work as if it is your own. All students and academics should follow the discipline appropriate method for referencing the work of others in order to protect themselves and their work from perception and accusations of plagiarism.</w:t>
      </w:r>
    </w:p>
    <w:p w:rsidR="00000000" w:rsidDel="00000000" w:rsidP="00000000" w:rsidRDefault="00000000" w:rsidRPr="00000000" w14:paraId="000000C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the consequences of plagiarism are significant (see </w:t>
      </w:r>
      <w:r w:rsidDel="00000000" w:rsidR="00000000" w:rsidRPr="00000000">
        <w:rPr>
          <w:rFonts w:ascii="Calibri" w:cs="Calibri" w:eastAsia="Calibri" w:hAnsi="Calibri"/>
          <w:b w:val="1"/>
          <w:rtl w:val="0"/>
        </w:rPr>
        <w:t xml:space="preserve">Types of Misconduct and Potential Penalties Guidelines</w:t>
      </w:r>
      <w:r w:rsidDel="00000000" w:rsidR="00000000" w:rsidRPr="00000000">
        <w:rPr>
          <w:rFonts w:ascii="Calibri" w:cs="Calibri" w:eastAsia="Calibri" w:hAnsi="Calibri"/>
          <w:rtl w:val="0"/>
        </w:rPr>
        <w:t xml:space="preserve">), each student is encouraged to familiarise themselves with what constitutes plagiarism (see </w:t>
      </w:r>
      <w:r w:rsidDel="00000000" w:rsidR="00000000" w:rsidRPr="00000000">
        <w:rPr>
          <w:rFonts w:ascii="Calibri" w:cs="Calibri" w:eastAsia="Calibri" w:hAnsi="Calibri"/>
          <w:b w:val="1"/>
          <w:rtl w:val="0"/>
        </w:rPr>
        <w:t xml:space="preserve">Types of Misconduct and Potential Penalties Guidelines</w:t>
      </w:r>
      <w:r w:rsidDel="00000000" w:rsidR="00000000" w:rsidRPr="00000000">
        <w:rPr>
          <w:rFonts w:ascii="Calibri" w:cs="Calibri" w:eastAsia="Calibri" w:hAnsi="Calibri"/>
          <w:rtl w:val="0"/>
        </w:rPr>
        <w:t xml:space="preserve">) and the consequences and procedures which are facilitated by Tabor Adelaide in cases where plagiarism are suspected and/or unidentified (see </w:t>
      </w:r>
      <w:r w:rsidDel="00000000" w:rsidR="00000000" w:rsidRPr="00000000">
        <w:rPr>
          <w:rFonts w:ascii="Calibri" w:cs="Calibri" w:eastAsia="Calibri" w:hAnsi="Calibri"/>
          <w:b w:val="1"/>
          <w:rtl w:val="0"/>
        </w:rPr>
        <w:t xml:space="preserve">Academic Misconduct – Guidelines and Procedures</w:t>
      </w:r>
      <w:r w:rsidDel="00000000" w:rsidR="00000000" w:rsidRPr="00000000">
        <w:rPr>
          <w:rFonts w:ascii="Calibri" w:cs="Calibri" w:eastAsia="Calibri" w:hAnsi="Calibri"/>
          <w:rtl w:val="0"/>
        </w:rPr>
        <w:t xml:space="preserve">). Please note that Tabor Adelaide uses the software Turnitin to help assessors identify if a student’s assignment may contain plagiarised content. Student may utilise this software to alert themselves to potential infractions, and to make appropriate changes, before they submit their assignment for assessment.</w:t>
      </w:r>
    </w:p>
    <w:p w:rsidR="00000000" w:rsidDel="00000000" w:rsidP="00000000" w:rsidRDefault="00000000" w:rsidRPr="00000000" w14:paraId="000000CB">
      <w:pPr>
        <w:spacing w:after="240" w:before="240" w:lineRule="auto"/>
        <w:rPr>
          <w:rFonts w:ascii="Calibri" w:cs="Calibri" w:eastAsia="Calibri" w:hAnsi="Calibri"/>
          <w:sz w:val="22"/>
          <w:szCs w:val="2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Late Submission of Assignments</w:t>
      </w:r>
    </w:p>
    <w:p w:rsidR="00000000" w:rsidDel="00000000" w:rsidP="00000000" w:rsidRDefault="00000000" w:rsidRPr="00000000" w14:paraId="000000C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normal mode of assignment submission is via Tabor Online (Moodle). Please ensure documents are compatible with Microsoft Word.  In some circumstances for particular classes, electronic submission is not achievable. Your lecturer and/or school administrator can advise. For such assignments, attach a completed Assignment Cover Sheet. These can be found on the Tabor Online Student Helpdesk.</w:t>
      </w:r>
    </w:p>
    <w:p w:rsidR="00000000" w:rsidDel="00000000" w:rsidP="00000000" w:rsidRDefault="00000000" w:rsidRPr="00000000" w14:paraId="000000CD">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Tabor believes that assignment due dates are an important part of studying at tertiary level. They allow. It is expected, therefore, that all students will submit their work by the due dates specified in the subject description. If the assignment is submitted after the set due date, the lecture/marker deducts the relevant percentage of marks as per the </w:t>
      </w:r>
      <w:r w:rsidDel="00000000" w:rsidR="00000000" w:rsidRPr="00000000">
        <w:rPr>
          <w:rFonts w:ascii="Calibri" w:cs="Calibri" w:eastAsia="Calibri" w:hAnsi="Calibri"/>
          <w:b w:val="1"/>
          <w:rtl w:val="0"/>
        </w:rPr>
        <w:t xml:space="preserve">Late Submission Penalty</w:t>
      </w:r>
    </w:p>
    <w:p w:rsidR="00000000" w:rsidDel="00000000" w:rsidP="00000000" w:rsidRDefault="00000000" w:rsidRPr="00000000" w14:paraId="000000C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may either accept the late penalty (no communication or administration necessary) OR complete an online </w:t>
      </w:r>
      <w:r w:rsidDel="00000000" w:rsidR="00000000" w:rsidRPr="00000000">
        <w:rPr>
          <w:rFonts w:ascii="Calibri" w:cs="Calibri" w:eastAsia="Calibri" w:hAnsi="Calibri"/>
          <w:b w:val="1"/>
          <w:rtl w:val="0"/>
        </w:rPr>
        <w:t xml:space="preserve">Reinstatement of Marks application</w:t>
      </w:r>
      <w:r w:rsidDel="00000000" w:rsidR="00000000" w:rsidRPr="00000000">
        <w:rPr>
          <w:rFonts w:ascii="Calibri" w:cs="Calibri" w:eastAsia="Calibri" w:hAnsi="Calibri"/>
          <w:rtl w:val="0"/>
        </w:rPr>
        <w:t xml:space="preserve"> if you consider you have appropriate grounds to do so. This application form can be accessed on the Tabor online learning site (see Tabor – Student Handbook 2019 Page 4 of 27).  Appropriate grounds include medical, compassionate, and hardship/trauma are addressed in the Handbook.</w:t>
      </w:r>
    </w:p>
    <w:p w:rsidR="00000000" w:rsidDel="00000000" w:rsidP="00000000" w:rsidRDefault="00000000" w:rsidRPr="00000000" w14:paraId="000000CF">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Resubmission of assignments and re-mark of an assignment</w:t>
      </w:r>
      <w:r w:rsidDel="00000000" w:rsidR="00000000" w:rsidRPr="00000000">
        <w:rPr>
          <w:rFonts w:ascii="Calibri" w:cs="Calibri" w:eastAsia="Calibri" w:hAnsi="Calibri"/>
          <w:rtl w:val="0"/>
        </w:rPr>
        <w:t xml:space="preserve">. A student will be required to pass all the subjects in his/her course to be granted a qualification at the end of that course.  In very particular circumstances a Special Compassionate Extension (SCE) may be granted at the assessor’s discretion beyond the final due date in relation to health and/or significant loss or circumstances that may reasonably be defined as unforeseen and/or catastrophic. Further information on either of these areas is listed on page 4 of the Handbook.</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Music Psychology</w:t>
    </w:r>
    <w:r w:rsidDel="00000000" w:rsidR="00000000" w:rsidRPr="00000000">
      <w:rPr>
        <w:rFonts w:ascii="Calibri" w:cs="Calibri" w:eastAsia="Calibri" w:hAnsi="Calibri"/>
        <w:sz w:val="18"/>
        <w:szCs w:val="18"/>
        <w:rtl w:val="0"/>
      </w:rPr>
      <w:t xml:space="preserve"> HSM201.7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ab/>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98480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Normal" w:default="1">
    <w:name w:val="Normal"/>
    <w:qFormat w:val="1"/>
    <w:rsid w:val="009C5C37"/>
  </w:style>
  <w:style w:type="paragraph" w:styleId="Heading1">
    <w:name w:val="heading 1"/>
    <w:basedOn w:val="Normal1"/>
    <w:next w:val="Normal1"/>
    <w:rsid w:val="00C806B8"/>
    <w:pPr>
      <w:keepNext w:val="1"/>
      <w:keepLines w:val="1"/>
      <w:spacing w:before="200"/>
      <w:outlineLvl w:val="0"/>
    </w:pPr>
    <w:rPr>
      <w:rFonts w:ascii="Trebuchet MS" w:cs="Trebuchet MS" w:eastAsia="Trebuchet MS" w:hAnsi="Trebuchet MS"/>
      <w:sz w:val="32"/>
    </w:rPr>
  </w:style>
  <w:style w:type="paragraph" w:styleId="Heading2">
    <w:name w:val="heading 2"/>
    <w:basedOn w:val="Normal1"/>
    <w:next w:val="Normal1"/>
    <w:link w:val="Heading2Char"/>
    <w:rsid w:val="00C806B8"/>
    <w:pPr>
      <w:keepNext w:val="1"/>
      <w:keepLines w:val="1"/>
      <w:spacing w:before="200"/>
      <w:outlineLvl w:val="1"/>
    </w:pPr>
    <w:rPr>
      <w:rFonts w:ascii="Trebuchet MS" w:cs="Trebuchet MS" w:eastAsia="Trebuchet MS" w:hAnsi="Trebuchet MS"/>
      <w:b w:val="1"/>
      <w:sz w:val="26"/>
    </w:rPr>
  </w:style>
  <w:style w:type="paragraph" w:styleId="Heading3">
    <w:name w:val="heading 3"/>
    <w:basedOn w:val="Normal1"/>
    <w:next w:val="Normal1"/>
    <w:rsid w:val="00C806B8"/>
    <w:pPr>
      <w:keepNext w:val="1"/>
      <w:keepLines w:val="1"/>
      <w:spacing w:before="160"/>
      <w:outlineLvl w:val="2"/>
    </w:pPr>
    <w:rPr>
      <w:rFonts w:ascii="Trebuchet MS" w:cs="Trebuchet MS" w:eastAsia="Trebuchet MS" w:hAnsi="Trebuchet MS"/>
      <w:b w:val="1"/>
      <w:color w:val="666666"/>
      <w:sz w:val="24"/>
    </w:rPr>
  </w:style>
  <w:style w:type="paragraph" w:styleId="Heading4">
    <w:name w:val="heading 4"/>
    <w:basedOn w:val="Normal1"/>
    <w:next w:val="Normal1"/>
    <w:rsid w:val="00C806B8"/>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1"/>
    <w:next w:val="Normal1"/>
    <w:qFormat w:val="1"/>
    <w:rsid w:val="00C806B8"/>
    <w:pPr>
      <w:keepNext w:val="1"/>
      <w:keepLines w:val="1"/>
      <w:spacing w:before="160"/>
      <w:outlineLvl w:val="4"/>
    </w:pPr>
    <w:rPr>
      <w:rFonts w:ascii="Trebuchet MS" w:cs="Trebuchet MS" w:eastAsia="Trebuchet MS" w:hAnsi="Trebuchet MS"/>
      <w:color w:val="666666"/>
    </w:rPr>
  </w:style>
  <w:style w:type="paragraph" w:styleId="Heading6">
    <w:name w:val="heading 6"/>
    <w:basedOn w:val="Normal1"/>
    <w:next w:val="Normal1"/>
    <w:rsid w:val="00C806B8"/>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C806B8"/>
  </w:style>
  <w:style w:type="paragraph" w:styleId="Title">
    <w:name w:val="Title"/>
    <w:basedOn w:val="Normal1"/>
    <w:next w:val="Normal1"/>
    <w:rsid w:val="00C806B8"/>
    <w:pPr>
      <w:keepNext w:val="1"/>
      <w:keepLines w:val="1"/>
    </w:pPr>
    <w:rPr>
      <w:rFonts w:ascii="Trebuchet MS" w:cs="Trebuchet MS" w:eastAsia="Trebuchet MS" w:hAnsi="Trebuchet MS"/>
      <w:sz w:val="42"/>
    </w:rPr>
  </w:style>
  <w:style w:type="paragraph" w:styleId="Subtitle">
    <w:name w:val="Subtitle"/>
    <w:basedOn w:val="Normal1"/>
    <w:next w:val="Normal1"/>
    <w:rsid w:val="00C806B8"/>
    <w:pPr>
      <w:keepNext w:val="1"/>
      <w:keepLines w:val="1"/>
      <w:spacing w:after="200"/>
    </w:pPr>
    <w:rPr>
      <w:rFonts w:ascii="Trebuchet MS" w:cs="Trebuchet MS" w:eastAsia="Trebuchet MS" w:hAnsi="Trebuchet MS"/>
      <w:i w:val="1"/>
      <w:color w:val="666666"/>
      <w:sz w:val="26"/>
    </w:rPr>
  </w:style>
  <w:style w:type="table" w:styleId="8" w:customStyle="1">
    <w:name w:val="8"/>
    <w:basedOn w:val="TableNormal"/>
    <w:rsid w:val="00C806B8"/>
    <w:tblPr>
      <w:tblStyleRowBandSize w:val="1"/>
      <w:tblStyleColBandSize w:val="1"/>
      <w:tblCellMar>
        <w:left w:w="115.0" w:type="dxa"/>
        <w:right w:w="115.0" w:type="dxa"/>
      </w:tblCellMar>
    </w:tblPr>
    <w:tblStylePr w:type="firstRow">
      <w:tblPr/>
      <w:tcPr>
        <w:tcMar>
          <w:top w:w="0.0" w:type="nil"/>
          <w:left w:w="115.0" w:type="dxa"/>
          <w:bottom w:w="0.0" w:type="nil"/>
          <w:right w:w="115.0" w:type="dxa"/>
        </w:tcMar>
      </w:tcPr>
    </w:tblStylePr>
    <w:tblStylePr w:type="lastRow">
      <w:tblPr/>
      <w:tcPr>
        <w:tcMar>
          <w:top w:w="0.0" w:type="nil"/>
          <w:left w:w="115.0" w:type="dxa"/>
          <w:bottom w:w="0.0" w:type="nil"/>
          <w:right w:w="115.0" w:type="dxa"/>
        </w:tcMar>
      </w:tcPr>
    </w:tblStylePr>
    <w:tblStylePr w:type="firstCol">
      <w:tblPr/>
      <w:tcPr>
        <w:tcMar>
          <w:top w:w="0.0" w:type="nil"/>
          <w:left w:w="115.0" w:type="dxa"/>
          <w:bottom w:w="0.0" w:type="nil"/>
          <w:right w:w="115.0" w:type="dxa"/>
        </w:tcMar>
      </w:tcPr>
    </w:tblStylePr>
    <w:tblStylePr w:type="lastCol">
      <w:tblPr/>
      <w:tcPr>
        <w:tcMar>
          <w:top w:w="0.0" w:type="nil"/>
          <w:left w:w="115.0" w:type="dxa"/>
          <w:bottom w:w="0.0" w:type="nil"/>
          <w:right w:w="115.0" w:type="dxa"/>
        </w:tcMar>
      </w:tcPr>
    </w:tblStylePr>
    <w:tblStylePr w:type="band1Vert">
      <w:tblPr/>
      <w:tcPr>
        <w:tcMar>
          <w:top w:w="0.0" w:type="nil"/>
          <w:left w:w="115.0" w:type="dxa"/>
          <w:bottom w:w="0.0" w:type="nil"/>
          <w:right w:w="115.0" w:type="dxa"/>
        </w:tcMar>
      </w:tcPr>
    </w:tblStylePr>
    <w:tblStylePr w:type="band2Vert">
      <w:tblPr/>
      <w:tcPr>
        <w:tcMar>
          <w:top w:w="0.0" w:type="nil"/>
          <w:left w:w="115.0" w:type="dxa"/>
          <w:bottom w:w="0.0" w:type="nil"/>
          <w:right w:w="115.0" w:type="dxa"/>
        </w:tcMar>
      </w:tcPr>
    </w:tblStylePr>
    <w:tblStylePr w:type="band1Horz">
      <w:tblPr/>
      <w:tcPr>
        <w:tcMar>
          <w:top w:w="0.0" w:type="nil"/>
          <w:left w:w="115.0" w:type="dxa"/>
          <w:bottom w:w="0.0" w:type="nil"/>
          <w:right w:w="115.0" w:type="dxa"/>
        </w:tcMar>
      </w:tcPr>
    </w:tblStylePr>
    <w:tblStylePr w:type="band2Horz">
      <w:tblPr/>
      <w:tcPr>
        <w:tcMar>
          <w:top w:w="0.0" w:type="nil"/>
          <w:left w:w="115.0" w:type="dxa"/>
          <w:bottom w:w="0.0" w:type="nil"/>
          <w:right w:w="115.0" w:type="dxa"/>
        </w:tcMar>
      </w:tcPr>
    </w:tblStylePr>
    <w:tblStylePr w:type="neCell">
      <w:tblPr/>
      <w:tcPr>
        <w:tcMar>
          <w:top w:w="0.0" w:type="nil"/>
          <w:left w:w="115.0" w:type="dxa"/>
          <w:bottom w:w="0.0" w:type="nil"/>
          <w:right w:w="115.0" w:type="dxa"/>
        </w:tcMar>
      </w:tcPr>
    </w:tblStylePr>
    <w:tblStylePr w:type="nwCell">
      <w:tblPr/>
      <w:tcPr>
        <w:tcMar>
          <w:top w:w="0.0" w:type="nil"/>
          <w:left w:w="115.0" w:type="dxa"/>
          <w:bottom w:w="0.0" w:type="nil"/>
          <w:right w:w="115.0" w:type="dxa"/>
        </w:tcMar>
      </w:tcPr>
    </w:tblStylePr>
    <w:tblStylePr w:type="seCell">
      <w:tblPr/>
      <w:tcPr>
        <w:tcMar>
          <w:top w:w="0.0" w:type="nil"/>
          <w:left w:w="115.0" w:type="dxa"/>
          <w:bottom w:w="0.0" w:type="nil"/>
          <w:right w:w="115.0" w:type="dxa"/>
        </w:tcMar>
      </w:tcPr>
    </w:tblStylePr>
    <w:tblStylePr w:type="swCell">
      <w:tblPr/>
      <w:tcPr>
        <w:tcMar>
          <w:top w:w="0.0" w:type="nil"/>
          <w:left w:w="115.0" w:type="dxa"/>
          <w:bottom w:w="0.0" w:type="nil"/>
          <w:right w:w="115.0" w:type="dxa"/>
        </w:tcMar>
      </w:tcPr>
    </w:tblStylePr>
  </w:style>
  <w:style w:type="table" w:styleId="7" w:customStyle="1">
    <w:name w:val="7"/>
    <w:basedOn w:val="TableNormal"/>
    <w:rsid w:val="00C806B8"/>
    <w:tblPr>
      <w:tblStyleRowBandSize w:val="1"/>
      <w:tblStyleColBandSize w:val="1"/>
      <w:tblCellMar>
        <w:left w:w="115.0" w:type="dxa"/>
        <w:right w:w="115.0" w:type="dxa"/>
      </w:tblCellMar>
    </w:tblPr>
    <w:tblStylePr w:type="firstRow">
      <w:tblPr/>
      <w:tcPr>
        <w:tcMar>
          <w:top w:w="0.0" w:type="nil"/>
          <w:left w:w="115.0" w:type="dxa"/>
          <w:bottom w:w="0.0" w:type="nil"/>
          <w:right w:w="115.0" w:type="dxa"/>
        </w:tcMar>
      </w:tcPr>
    </w:tblStylePr>
    <w:tblStylePr w:type="lastRow">
      <w:tblPr/>
      <w:tcPr>
        <w:tcMar>
          <w:top w:w="0.0" w:type="nil"/>
          <w:left w:w="115.0" w:type="dxa"/>
          <w:bottom w:w="0.0" w:type="nil"/>
          <w:right w:w="115.0" w:type="dxa"/>
        </w:tcMar>
      </w:tcPr>
    </w:tblStylePr>
    <w:tblStylePr w:type="firstCol">
      <w:tblPr/>
      <w:tcPr>
        <w:tcMar>
          <w:top w:w="0.0" w:type="nil"/>
          <w:left w:w="115.0" w:type="dxa"/>
          <w:bottom w:w="0.0" w:type="nil"/>
          <w:right w:w="115.0" w:type="dxa"/>
        </w:tcMar>
      </w:tcPr>
    </w:tblStylePr>
    <w:tblStylePr w:type="lastCol">
      <w:tblPr/>
      <w:tcPr>
        <w:tcMar>
          <w:top w:w="0.0" w:type="nil"/>
          <w:left w:w="115.0" w:type="dxa"/>
          <w:bottom w:w="0.0" w:type="nil"/>
          <w:right w:w="115.0" w:type="dxa"/>
        </w:tcMar>
      </w:tcPr>
    </w:tblStylePr>
    <w:tblStylePr w:type="band1Vert">
      <w:tblPr/>
      <w:tcPr>
        <w:tcMar>
          <w:top w:w="0.0" w:type="nil"/>
          <w:left w:w="115.0" w:type="dxa"/>
          <w:bottom w:w="0.0" w:type="nil"/>
          <w:right w:w="115.0" w:type="dxa"/>
        </w:tcMar>
      </w:tcPr>
    </w:tblStylePr>
    <w:tblStylePr w:type="band2Vert">
      <w:tblPr/>
      <w:tcPr>
        <w:tcMar>
          <w:top w:w="0.0" w:type="nil"/>
          <w:left w:w="115.0" w:type="dxa"/>
          <w:bottom w:w="0.0" w:type="nil"/>
          <w:right w:w="115.0" w:type="dxa"/>
        </w:tcMar>
      </w:tcPr>
    </w:tblStylePr>
    <w:tblStylePr w:type="band1Horz">
      <w:tblPr/>
      <w:tcPr>
        <w:tcMar>
          <w:top w:w="0.0" w:type="nil"/>
          <w:left w:w="115.0" w:type="dxa"/>
          <w:bottom w:w="0.0" w:type="nil"/>
          <w:right w:w="115.0" w:type="dxa"/>
        </w:tcMar>
      </w:tcPr>
    </w:tblStylePr>
    <w:tblStylePr w:type="band2Horz">
      <w:tblPr/>
      <w:tcPr>
        <w:tcMar>
          <w:top w:w="0.0" w:type="nil"/>
          <w:left w:w="115.0" w:type="dxa"/>
          <w:bottom w:w="0.0" w:type="nil"/>
          <w:right w:w="115.0" w:type="dxa"/>
        </w:tcMar>
      </w:tcPr>
    </w:tblStylePr>
    <w:tblStylePr w:type="neCell">
      <w:tblPr/>
      <w:tcPr>
        <w:tcMar>
          <w:top w:w="0.0" w:type="nil"/>
          <w:left w:w="115.0" w:type="dxa"/>
          <w:bottom w:w="0.0" w:type="nil"/>
          <w:right w:w="115.0" w:type="dxa"/>
        </w:tcMar>
      </w:tcPr>
    </w:tblStylePr>
    <w:tblStylePr w:type="nwCell">
      <w:tblPr/>
      <w:tcPr>
        <w:tcMar>
          <w:top w:w="0.0" w:type="nil"/>
          <w:left w:w="115.0" w:type="dxa"/>
          <w:bottom w:w="0.0" w:type="nil"/>
          <w:right w:w="115.0" w:type="dxa"/>
        </w:tcMar>
      </w:tcPr>
    </w:tblStylePr>
    <w:tblStylePr w:type="seCell">
      <w:tblPr/>
      <w:tcPr>
        <w:tcMar>
          <w:top w:w="0.0" w:type="nil"/>
          <w:left w:w="115.0" w:type="dxa"/>
          <w:bottom w:w="0.0" w:type="nil"/>
          <w:right w:w="115.0" w:type="dxa"/>
        </w:tcMar>
      </w:tcPr>
    </w:tblStylePr>
    <w:tblStylePr w:type="swCell">
      <w:tblPr/>
      <w:tcPr>
        <w:tcMar>
          <w:top w:w="0.0" w:type="nil"/>
          <w:left w:w="115.0" w:type="dxa"/>
          <w:bottom w:w="0.0" w:type="nil"/>
          <w:right w:w="115.0" w:type="dxa"/>
        </w:tcMar>
      </w:tcPr>
    </w:tblStylePr>
  </w:style>
  <w:style w:type="table" w:styleId="6" w:customStyle="1">
    <w:name w:val="6"/>
    <w:basedOn w:val="TableNormal"/>
    <w:rsid w:val="00C806B8"/>
    <w:tblPr>
      <w:tblStyleRowBandSize w:val="1"/>
      <w:tblStyleColBandSize w:val="1"/>
      <w:tblCellMar>
        <w:left w:w="115.0" w:type="dxa"/>
        <w:right w:w="115.0" w:type="dxa"/>
      </w:tblCellMar>
    </w:tblPr>
    <w:tblStylePr w:type="firstRow">
      <w:tblPr/>
      <w:tcPr>
        <w:tcMar>
          <w:top w:w="0.0" w:type="nil"/>
          <w:left w:w="115.0" w:type="dxa"/>
          <w:bottom w:w="0.0" w:type="nil"/>
          <w:right w:w="115.0" w:type="dxa"/>
        </w:tcMar>
      </w:tcPr>
    </w:tblStylePr>
    <w:tblStylePr w:type="lastRow">
      <w:tblPr/>
      <w:tcPr>
        <w:tcMar>
          <w:top w:w="0.0" w:type="nil"/>
          <w:left w:w="115.0" w:type="dxa"/>
          <w:bottom w:w="0.0" w:type="nil"/>
          <w:right w:w="115.0" w:type="dxa"/>
        </w:tcMar>
      </w:tcPr>
    </w:tblStylePr>
    <w:tblStylePr w:type="firstCol">
      <w:tblPr/>
      <w:tcPr>
        <w:tcMar>
          <w:top w:w="0.0" w:type="nil"/>
          <w:left w:w="115.0" w:type="dxa"/>
          <w:bottom w:w="0.0" w:type="nil"/>
          <w:right w:w="115.0" w:type="dxa"/>
        </w:tcMar>
      </w:tcPr>
    </w:tblStylePr>
    <w:tblStylePr w:type="lastCol">
      <w:tblPr/>
      <w:tcPr>
        <w:tcMar>
          <w:top w:w="0.0" w:type="nil"/>
          <w:left w:w="115.0" w:type="dxa"/>
          <w:bottom w:w="0.0" w:type="nil"/>
          <w:right w:w="115.0" w:type="dxa"/>
        </w:tcMar>
      </w:tcPr>
    </w:tblStylePr>
    <w:tblStylePr w:type="band1Vert">
      <w:tblPr/>
      <w:tcPr>
        <w:tcMar>
          <w:top w:w="0.0" w:type="nil"/>
          <w:left w:w="115.0" w:type="dxa"/>
          <w:bottom w:w="0.0" w:type="nil"/>
          <w:right w:w="115.0" w:type="dxa"/>
        </w:tcMar>
      </w:tcPr>
    </w:tblStylePr>
    <w:tblStylePr w:type="band2Vert">
      <w:tblPr/>
      <w:tcPr>
        <w:tcMar>
          <w:top w:w="0.0" w:type="nil"/>
          <w:left w:w="115.0" w:type="dxa"/>
          <w:bottom w:w="0.0" w:type="nil"/>
          <w:right w:w="115.0" w:type="dxa"/>
        </w:tcMar>
      </w:tcPr>
    </w:tblStylePr>
    <w:tblStylePr w:type="band1Horz">
      <w:tblPr/>
      <w:tcPr>
        <w:tcMar>
          <w:top w:w="0.0" w:type="nil"/>
          <w:left w:w="115.0" w:type="dxa"/>
          <w:bottom w:w="0.0" w:type="nil"/>
          <w:right w:w="115.0" w:type="dxa"/>
        </w:tcMar>
      </w:tcPr>
    </w:tblStylePr>
    <w:tblStylePr w:type="band2Horz">
      <w:tblPr/>
      <w:tcPr>
        <w:tcMar>
          <w:top w:w="0.0" w:type="nil"/>
          <w:left w:w="115.0" w:type="dxa"/>
          <w:bottom w:w="0.0" w:type="nil"/>
          <w:right w:w="115.0" w:type="dxa"/>
        </w:tcMar>
      </w:tcPr>
    </w:tblStylePr>
    <w:tblStylePr w:type="neCell">
      <w:tblPr/>
      <w:tcPr>
        <w:tcMar>
          <w:top w:w="0.0" w:type="nil"/>
          <w:left w:w="115.0" w:type="dxa"/>
          <w:bottom w:w="0.0" w:type="nil"/>
          <w:right w:w="115.0" w:type="dxa"/>
        </w:tcMar>
      </w:tcPr>
    </w:tblStylePr>
    <w:tblStylePr w:type="nwCell">
      <w:tblPr/>
      <w:tcPr>
        <w:tcMar>
          <w:top w:w="0.0" w:type="nil"/>
          <w:left w:w="115.0" w:type="dxa"/>
          <w:bottom w:w="0.0" w:type="nil"/>
          <w:right w:w="115.0" w:type="dxa"/>
        </w:tcMar>
      </w:tcPr>
    </w:tblStylePr>
    <w:tblStylePr w:type="seCell">
      <w:tblPr/>
      <w:tcPr>
        <w:tcMar>
          <w:top w:w="0.0" w:type="nil"/>
          <w:left w:w="115.0" w:type="dxa"/>
          <w:bottom w:w="0.0" w:type="nil"/>
          <w:right w:w="115.0" w:type="dxa"/>
        </w:tcMar>
      </w:tcPr>
    </w:tblStylePr>
    <w:tblStylePr w:type="swCell">
      <w:tblPr/>
      <w:tcPr>
        <w:tcMar>
          <w:top w:w="0.0" w:type="nil"/>
          <w:left w:w="115.0" w:type="dxa"/>
          <w:bottom w:w="0.0" w:type="nil"/>
          <w:right w:w="115.0" w:type="dxa"/>
        </w:tcMar>
      </w:tcPr>
    </w:tblStylePr>
  </w:style>
  <w:style w:type="table" w:styleId="5" w:customStyle="1">
    <w:name w:val="5"/>
    <w:basedOn w:val="TableNormal"/>
    <w:rsid w:val="00C806B8"/>
    <w:tblPr>
      <w:tblStyleRowBandSize w:val="1"/>
      <w:tblStyleColBandSize w:val="1"/>
      <w:tblCellMar>
        <w:left w:w="115.0" w:type="dxa"/>
        <w:right w:w="115.0" w:type="dxa"/>
      </w:tblCellMar>
    </w:tblPr>
    <w:tblStylePr w:type="firstRow">
      <w:tblPr/>
      <w:tcPr>
        <w:tcMar>
          <w:top w:w="0.0" w:type="nil"/>
          <w:left w:w="115.0" w:type="dxa"/>
          <w:bottom w:w="0.0" w:type="nil"/>
          <w:right w:w="115.0" w:type="dxa"/>
        </w:tcMar>
      </w:tcPr>
    </w:tblStylePr>
    <w:tblStylePr w:type="lastRow">
      <w:tblPr/>
      <w:tcPr>
        <w:tcMar>
          <w:top w:w="0.0" w:type="nil"/>
          <w:left w:w="115.0" w:type="dxa"/>
          <w:bottom w:w="0.0" w:type="nil"/>
          <w:right w:w="115.0" w:type="dxa"/>
        </w:tcMar>
      </w:tcPr>
    </w:tblStylePr>
    <w:tblStylePr w:type="firstCol">
      <w:tblPr/>
      <w:tcPr>
        <w:tcMar>
          <w:top w:w="0.0" w:type="nil"/>
          <w:left w:w="115.0" w:type="dxa"/>
          <w:bottom w:w="0.0" w:type="nil"/>
          <w:right w:w="115.0" w:type="dxa"/>
        </w:tcMar>
      </w:tcPr>
    </w:tblStylePr>
    <w:tblStylePr w:type="lastCol">
      <w:tblPr/>
      <w:tcPr>
        <w:tcMar>
          <w:top w:w="0.0" w:type="nil"/>
          <w:left w:w="115.0" w:type="dxa"/>
          <w:bottom w:w="0.0" w:type="nil"/>
          <w:right w:w="115.0" w:type="dxa"/>
        </w:tcMar>
      </w:tcPr>
    </w:tblStylePr>
    <w:tblStylePr w:type="band1Vert">
      <w:tblPr/>
      <w:tcPr>
        <w:tcMar>
          <w:top w:w="0.0" w:type="nil"/>
          <w:left w:w="115.0" w:type="dxa"/>
          <w:bottom w:w="0.0" w:type="nil"/>
          <w:right w:w="115.0" w:type="dxa"/>
        </w:tcMar>
      </w:tcPr>
    </w:tblStylePr>
    <w:tblStylePr w:type="band2Vert">
      <w:tblPr/>
      <w:tcPr>
        <w:tcMar>
          <w:top w:w="0.0" w:type="nil"/>
          <w:left w:w="115.0" w:type="dxa"/>
          <w:bottom w:w="0.0" w:type="nil"/>
          <w:right w:w="115.0" w:type="dxa"/>
        </w:tcMar>
      </w:tcPr>
    </w:tblStylePr>
    <w:tblStylePr w:type="band1Horz">
      <w:tblPr/>
      <w:tcPr>
        <w:tcMar>
          <w:top w:w="0.0" w:type="nil"/>
          <w:left w:w="115.0" w:type="dxa"/>
          <w:bottom w:w="0.0" w:type="nil"/>
          <w:right w:w="115.0" w:type="dxa"/>
        </w:tcMar>
      </w:tcPr>
    </w:tblStylePr>
    <w:tblStylePr w:type="band2Horz">
      <w:tblPr/>
      <w:tcPr>
        <w:tcMar>
          <w:top w:w="0.0" w:type="nil"/>
          <w:left w:w="115.0" w:type="dxa"/>
          <w:bottom w:w="0.0" w:type="nil"/>
          <w:right w:w="115.0" w:type="dxa"/>
        </w:tcMar>
      </w:tcPr>
    </w:tblStylePr>
    <w:tblStylePr w:type="neCell">
      <w:tblPr/>
      <w:tcPr>
        <w:tcMar>
          <w:top w:w="0.0" w:type="nil"/>
          <w:left w:w="115.0" w:type="dxa"/>
          <w:bottom w:w="0.0" w:type="nil"/>
          <w:right w:w="115.0" w:type="dxa"/>
        </w:tcMar>
      </w:tcPr>
    </w:tblStylePr>
    <w:tblStylePr w:type="nwCell">
      <w:tblPr/>
      <w:tcPr>
        <w:tcMar>
          <w:top w:w="0.0" w:type="nil"/>
          <w:left w:w="115.0" w:type="dxa"/>
          <w:bottom w:w="0.0" w:type="nil"/>
          <w:right w:w="115.0" w:type="dxa"/>
        </w:tcMar>
      </w:tcPr>
    </w:tblStylePr>
    <w:tblStylePr w:type="seCell">
      <w:tblPr/>
      <w:tcPr>
        <w:tcMar>
          <w:top w:w="0.0" w:type="nil"/>
          <w:left w:w="115.0" w:type="dxa"/>
          <w:bottom w:w="0.0" w:type="nil"/>
          <w:right w:w="115.0" w:type="dxa"/>
        </w:tcMar>
      </w:tcPr>
    </w:tblStylePr>
    <w:tblStylePr w:type="swCell">
      <w:tblPr/>
      <w:tcPr>
        <w:tcMar>
          <w:top w:w="0.0" w:type="nil"/>
          <w:left w:w="115.0" w:type="dxa"/>
          <w:bottom w:w="0.0" w:type="nil"/>
          <w:right w:w="115.0" w:type="dxa"/>
        </w:tcMar>
      </w:tcPr>
    </w:tblStylePr>
  </w:style>
  <w:style w:type="table" w:styleId="4" w:customStyle="1">
    <w:name w:val="4"/>
    <w:basedOn w:val="TableNormal"/>
    <w:rsid w:val="00C806B8"/>
    <w:tblPr>
      <w:tblStyleRowBandSize w:val="1"/>
      <w:tblStyleColBandSize w:val="1"/>
      <w:tblCellMar>
        <w:left w:w="115.0" w:type="dxa"/>
        <w:right w:w="115.0" w:type="dxa"/>
      </w:tblCellMar>
    </w:tblPr>
    <w:tblStylePr w:type="firstRow">
      <w:tblPr/>
      <w:tcPr>
        <w:tcMar>
          <w:top w:w="0.0" w:type="nil"/>
          <w:left w:w="115.0" w:type="dxa"/>
          <w:bottom w:w="0.0" w:type="nil"/>
          <w:right w:w="115.0" w:type="dxa"/>
        </w:tcMar>
      </w:tcPr>
    </w:tblStylePr>
    <w:tblStylePr w:type="lastRow">
      <w:tblPr/>
      <w:tcPr>
        <w:tcMar>
          <w:top w:w="0.0" w:type="nil"/>
          <w:left w:w="115.0" w:type="dxa"/>
          <w:bottom w:w="0.0" w:type="nil"/>
          <w:right w:w="115.0" w:type="dxa"/>
        </w:tcMar>
      </w:tcPr>
    </w:tblStylePr>
    <w:tblStylePr w:type="firstCol">
      <w:tblPr/>
      <w:tcPr>
        <w:tcMar>
          <w:top w:w="0.0" w:type="nil"/>
          <w:left w:w="115.0" w:type="dxa"/>
          <w:bottom w:w="0.0" w:type="nil"/>
          <w:right w:w="115.0" w:type="dxa"/>
        </w:tcMar>
      </w:tcPr>
    </w:tblStylePr>
    <w:tblStylePr w:type="lastCol">
      <w:tblPr/>
      <w:tcPr>
        <w:tcMar>
          <w:top w:w="0.0" w:type="nil"/>
          <w:left w:w="115.0" w:type="dxa"/>
          <w:bottom w:w="0.0" w:type="nil"/>
          <w:right w:w="115.0" w:type="dxa"/>
        </w:tcMar>
      </w:tcPr>
    </w:tblStylePr>
    <w:tblStylePr w:type="band1Vert">
      <w:tblPr/>
      <w:tcPr>
        <w:tcMar>
          <w:top w:w="0.0" w:type="nil"/>
          <w:left w:w="115.0" w:type="dxa"/>
          <w:bottom w:w="0.0" w:type="nil"/>
          <w:right w:w="115.0" w:type="dxa"/>
        </w:tcMar>
      </w:tcPr>
    </w:tblStylePr>
    <w:tblStylePr w:type="band2Vert">
      <w:tblPr/>
      <w:tcPr>
        <w:tcMar>
          <w:top w:w="0.0" w:type="nil"/>
          <w:left w:w="115.0" w:type="dxa"/>
          <w:bottom w:w="0.0" w:type="nil"/>
          <w:right w:w="115.0" w:type="dxa"/>
        </w:tcMar>
      </w:tcPr>
    </w:tblStylePr>
    <w:tblStylePr w:type="band1Horz">
      <w:tblPr/>
      <w:tcPr>
        <w:tcMar>
          <w:top w:w="0.0" w:type="nil"/>
          <w:left w:w="115.0" w:type="dxa"/>
          <w:bottom w:w="0.0" w:type="nil"/>
          <w:right w:w="115.0" w:type="dxa"/>
        </w:tcMar>
      </w:tcPr>
    </w:tblStylePr>
    <w:tblStylePr w:type="band2Horz">
      <w:tblPr/>
      <w:tcPr>
        <w:tcMar>
          <w:top w:w="0.0" w:type="nil"/>
          <w:left w:w="115.0" w:type="dxa"/>
          <w:bottom w:w="0.0" w:type="nil"/>
          <w:right w:w="115.0" w:type="dxa"/>
        </w:tcMar>
      </w:tcPr>
    </w:tblStylePr>
    <w:tblStylePr w:type="neCell">
      <w:tblPr/>
      <w:tcPr>
        <w:tcMar>
          <w:top w:w="0.0" w:type="nil"/>
          <w:left w:w="115.0" w:type="dxa"/>
          <w:bottom w:w="0.0" w:type="nil"/>
          <w:right w:w="115.0" w:type="dxa"/>
        </w:tcMar>
      </w:tcPr>
    </w:tblStylePr>
    <w:tblStylePr w:type="nwCell">
      <w:tblPr/>
      <w:tcPr>
        <w:tcMar>
          <w:top w:w="0.0" w:type="nil"/>
          <w:left w:w="115.0" w:type="dxa"/>
          <w:bottom w:w="0.0" w:type="nil"/>
          <w:right w:w="115.0" w:type="dxa"/>
        </w:tcMar>
      </w:tcPr>
    </w:tblStylePr>
    <w:tblStylePr w:type="seCell">
      <w:tblPr/>
      <w:tcPr>
        <w:tcMar>
          <w:top w:w="0.0" w:type="nil"/>
          <w:left w:w="115.0" w:type="dxa"/>
          <w:bottom w:w="0.0" w:type="nil"/>
          <w:right w:w="115.0" w:type="dxa"/>
        </w:tcMar>
      </w:tcPr>
    </w:tblStylePr>
    <w:tblStylePr w:type="swCell">
      <w:tblPr/>
      <w:tcPr>
        <w:tcMar>
          <w:top w:w="0.0" w:type="nil"/>
          <w:left w:w="115.0" w:type="dxa"/>
          <w:bottom w:w="0.0" w:type="nil"/>
          <w:right w:w="115.0" w:type="dxa"/>
        </w:tcMar>
      </w:tcPr>
    </w:tblStylePr>
  </w:style>
  <w:style w:type="table" w:styleId="3" w:customStyle="1">
    <w:name w:val="3"/>
    <w:basedOn w:val="TableNormal"/>
    <w:rsid w:val="00C806B8"/>
    <w:tblPr>
      <w:tblStyleRowBandSize w:val="1"/>
      <w:tblStyleColBandSize w:val="1"/>
      <w:tblCellMar>
        <w:left w:w="115.0" w:type="dxa"/>
        <w:right w:w="115.0" w:type="dxa"/>
      </w:tblCellMar>
    </w:tblPr>
    <w:tblStylePr w:type="firstRow">
      <w:tblPr/>
      <w:tcPr>
        <w:tcMar>
          <w:top w:w="0.0" w:type="nil"/>
          <w:left w:w="115.0" w:type="dxa"/>
          <w:bottom w:w="0.0" w:type="nil"/>
          <w:right w:w="115.0" w:type="dxa"/>
        </w:tcMar>
      </w:tcPr>
    </w:tblStylePr>
    <w:tblStylePr w:type="lastRow">
      <w:tblPr/>
      <w:tcPr>
        <w:tcMar>
          <w:top w:w="0.0" w:type="nil"/>
          <w:left w:w="115.0" w:type="dxa"/>
          <w:bottom w:w="0.0" w:type="nil"/>
          <w:right w:w="115.0" w:type="dxa"/>
        </w:tcMar>
      </w:tcPr>
    </w:tblStylePr>
    <w:tblStylePr w:type="firstCol">
      <w:tblPr/>
      <w:tcPr>
        <w:tcMar>
          <w:top w:w="0.0" w:type="nil"/>
          <w:left w:w="115.0" w:type="dxa"/>
          <w:bottom w:w="0.0" w:type="nil"/>
          <w:right w:w="115.0" w:type="dxa"/>
        </w:tcMar>
      </w:tcPr>
    </w:tblStylePr>
    <w:tblStylePr w:type="lastCol">
      <w:tblPr/>
      <w:tcPr>
        <w:tcMar>
          <w:top w:w="0.0" w:type="nil"/>
          <w:left w:w="115.0" w:type="dxa"/>
          <w:bottom w:w="0.0" w:type="nil"/>
          <w:right w:w="115.0" w:type="dxa"/>
        </w:tcMar>
      </w:tcPr>
    </w:tblStylePr>
    <w:tblStylePr w:type="band1Vert">
      <w:tblPr/>
      <w:tcPr>
        <w:tcMar>
          <w:top w:w="0.0" w:type="nil"/>
          <w:left w:w="115.0" w:type="dxa"/>
          <w:bottom w:w="0.0" w:type="nil"/>
          <w:right w:w="115.0" w:type="dxa"/>
        </w:tcMar>
      </w:tcPr>
    </w:tblStylePr>
    <w:tblStylePr w:type="band2Vert">
      <w:tblPr/>
      <w:tcPr>
        <w:tcMar>
          <w:top w:w="0.0" w:type="nil"/>
          <w:left w:w="115.0" w:type="dxa"/>
          <w:bottom w:w="0.0" w:type="nil"/>
          <w:right w:w="115.0" w:type="dxa"/>
        </w:tcMar>
      </w:tcPr>
    </w:tblStylePr>
    <w:tblStylePr w:type="band1Horz">
      <w:tblPr/>
      <w:tcPr>
        <w:tcMar>
          <w:top w:w="0.0" w:type="nil"/>
          <w:left w:w="115.0" w:type="dxa"/>
          <w:bottom w:w="0.0" w:type="nil"/>
          <w:right w:w="115.0" w:type="dxa"/>
        </w:tcMar>
      </w:tcPr>
    </w:tblStylePr>
    <w:tblStylePr w:type="band2Horz">
      <w:tblPr/>
      <w:tcPr>
        <w:tcMar>
          <w:top w:w="0.0" w:type="nil"/>
          <w:left w:w="115.0" w:type="dxa"/>
          <w:bottom w:w="0.0" w:type="nil"/>
          <w:right w:w="115.0" w:type="dxa"/>
        </w:tcMar>
      </w:tcPr>
    </w:tblStylePr>
    <w:tblStylePr w:type="neCell">
      <w:tblPr/>
      <w:tcPr>
        <w:tcMar>
          <w:top w:w="0.0" w:type="nil"/>
          <w:left w:w="115.0" w:type="dxa"/>
          <w:bottom w:w="0.0" w:type="nil"/>
          <w:right w:w="115.0" w:type="dxa"/>
        </w:tcMar>
      </w:tcPr>
    </w:tblStylePr>
    <w:tblStylePr w:type="nwCell">
      <w:tblPr/>
      <w:tcPr>
        <w:tcMar>
          <w:top w:w="0.0" w:type="nil"/>
          <w:left w:w="115.0" w:type="dxa"/>
          <w:bottom w:w="0.0" w:type="nil"/>
          <w:right w:w="115.0" w:type="dxa"/>
        </w:tcMar>
      </w:tcPr>
    </w:tblStylePr>
    <w:tblStylePr w:type="seCell">
      <w:tblPr/>
      <w:tcPr>
        <w:tcMar>
          <w:top w:w="0.0" w:type="nil"/>
          <w:left w:w="115.0" w:type="dxa"/>
          <w:bottom w:w="0.0" w:type="nil"/>
          <w:right w:w="115.0" w:type="dxa"/>
        </w:tcMar>
      </w:tcPr>
    </w:tblStylePr>
    <w:tblStylePr w:type="swCell">
      <w:tblPr/>
      <w:tcPr>
        <w:tcMar>
          <w:top w:w="0.0" w:type="nil"/>
          <w:left w:w="115.0" w:type="dxa"/>
          <w:bottom w:w="0.0" w:type="nil"/>
          <w:right w:w="115.0" w:type="dxa"/>
        </w:tcMar>
      </w:tcPr>
    </w:tblStylePr>
  </w:style>
  <w:style w:type="table" w:styleId="2" w:customStyle="1">
    <w:name w:val="2"/>
    <w:basedOn w:val="TableNormal"/>
    <w:rsid w:val="00C806B8"/>
    <w:tblPr>
      <w:tblStyleRowBandSize w:val="1"/>
      <w:tblStyleColBandSize w:val="1"/>
      <w:tblCellMar>
        <w:left w:w="115.0" w:type="dxa"/>
        <w:right w:w="115.0" w:type="dxa"/>
      </w:tblCellMar>
    </w:tblPr>
    <w:tblStylePr w:type="firstRow">
      <w:tblPr/>
      <w:tcPr>
        <w:tcMar>
          <w:top w:w="0.0" w:type="nil"/>
          <w:left w:w="115.0" w:type="dxa"/>
          <w:bottom w:w="0.0" w:type="nil"/>
          <w:right w:w="115.0" w:type="dxa"/>
        </w:tcMar>
      </w:tcPr>
    </w:tblStylePr>
    <w:tblStylePr w:type="lastRow">
      <w:tblPr/>
      <w:tcPr>
        <w:tcMar>
          <w:top w:w="0.0" w:type="nil"/>
          <w:left w:w="115.0" w:type="dxa"/>
          <w:bottom w:w="0.0" w:type="nil"/>
          <w:right w:w="115.0" w:type="dxa"/>
        </w:tcMar>
      </w:tcPr>
    </w:tblStylePr>
    <w:tblStylePr w:type="firstCol">
      <w:tblPr/>
      <w:tcPr>
        <w:tcMar>
          <w:top w:w="0.0" w:type="nil"/>
          <w:left w:w="115.0" w:type="dxa"/>
          <w:bottom w:w="0.0" w:type="nil"/>
          <w:right w:w="115.0" w:type="dxa"/>
        </w:tcMar>
      </w:tcPr>
    </w:tblStylePr>
    <w:tblStylePr w:type="lastCol">
      <w:tblPr/>
      <w:tcPr>
        <w:tcMar>
          <w:top w:w="0.0" w:type="nil"/>
          <w:left w:w="115.0" w:type="dxa"/>
          <w:bottom w:w="0.0" w:type="nil"/>
          <w:right w:w="115.0" w:type="dxa"/>
        </w:tcMar>
      </w:tcPr>
    </w:tblStylePr>
    <w:tblStylePr w:type="band1Vert">
      <w:tblPr/>
      <w:tcPr>
        <w:tcMar>
          <w:top w:w="0.0" w:type="nil"/>
          <w:left w:w="115.0" w:type="dxa"/>
          <w:bottom w:w="0.0" w:type="nil"/>
          <w:right w:w="115.0" w:type="dxa"/>
        </w:tcMar>
      </w:tcPr>
    </w:tblStylePr>
    <w:tblStylePr w:type="band2Vert">
      <w:tblPr/>
      <w:tcPr>
        <w:tcMar>
          <w:top w:w="0.0" w:type="nil"/>
          <w:left w:w="115.0" w:type="dxa"/>
          <w:bottom w:w="0.0" w:type="nil"/>
          <w:right w:w="115.0" w:type="dxa"/>
        </w:tcMar>
      </w:tcPr>
    </w:tblStylePr>
    <w:tblStylePr w:type="band1Horz">
      <w:tblPr/>
      <w:tcPr>
        <w:tcMar>
          <w:top w:w="0.0" w:type="nil"/>
          <w:left w:w="115.0" w:type="dxa"/>
          <w:bottom w:w="0.0" w:type="nil"/>
          <w:right w:w="115.0" w:type="dxa"/>
        </w:tcMar>
      </w:tcPr>
    </w:tblStylePr>
    <w:tblStylePr w:type="band2Horz">
      <w:tblPr/>
      <w:tcPr>
        <w:tcMar>
          <w:top w:w="0.0" w:type="nil"/>
          <w:left w:w="115.0" w:type="dxa"/>
          <w:bottom w:w="0.0" w:type="nil"/>
          <w:right w:w="115.0" w:type="dxa"/>
        </w:tcMar>
      </w:tcPr>
    </w:tblStylePr>
    <w:tblStylePr w:type="neCell">
      <w:tblPr/>
      <w:tcPr>
        <w:tcMar>
          <w:top w:w="0.0" w:type="nil"/>
          <w:left w:w="115.0" w:type="dxa"/>
          <w:bottom w:w="0.0" w:type="nil"/>
          <w:right w:w="115.0" w:type="dxa"/>
        </w:tcMar>
      </w:tcPr>
    </w:tblStylePr>
    <w:tblStylePr w:type="nwCell">
      <w:tblPr/>
      <w:tcPr>
        <w:tcMar>
          <w:top w:w="0.0" w:type="nil"/>
          <w:left w:w="115.0" w:type="dxa"/>
          <w:bottom w:w="0.0" w:type="nil"/>
          <w:right w:w="115.0" w:type="dxa"/>
        </w:tcMar>
      </w:tcPr>
    </w:tblStylePr>
    <w:tblStylePr w:type="seCell">
      <w:tblPr/>
      <w:tcPr>
        <w:tcMar>
          <w:top w:w="0.0" w:type="nil"/>
          <w:left w:w="115.0" w:type="dxa"/>
          <w:bottom w:w="0.0" w:type="nil"/>
          <w:right w:w="115.0" w:type="dxa"/>
        </w:tcMar>
      </w:tcPr>
    </w:tblStylePr>
    <w:tblStylePr w:type="swCell">
      <w:tblPr/>
      <w:tcPr>
        <w:tcMar>
          <w:top w:w="0.0" w:type="nil"/>
          <w:left w:w="115.0" w:type="dxa"/>
          <w:bottom w:w="0.0" w:type="nil"/>
          <w:right w:w="115.0" w:type="dxa"/>
        </w:tcMar>
      </w:tcPr>
    </w:tblStylePr>
  </w:style>
  <w:style w:type="table" w:styleId="1" w:customStyle="1">
    <w:name w:val="1"/>
    <w:basedOn w:val="TableNormal"/>
    <w:rsid w:val="00C806B8"/>
    <w:tblPr>
      <w:tblStyleRowBandSize w:val="1"/>
      <w:tblStyleColBandSize w:val="1"/>
      <w:tblCellMar>
        <w:left w:w="115.0" w:type="dxa"/>
        <w:right w:w="115.0" w:type="dxa"/>
      </w:tblCellMar>
    </w:tblPr>
    <w:tblStylePr w:type="firstRow">
      <w:tblPr/>
      <w:tcPr>
        <w:tcMar>
          <w:top w:w="0.0" w:type="nil"/>
          <w:left w:w="115.0" w:type="dxa"/>
          <w:bottom w:w="0.0" w:type="nil"/>
          <w:right w:w="115.0" w:type="dxa"/>
        </w:tcMar>
      </w:tcPr>
    </w:tblStylePr>
    <w:tblStylePr w:type="lastRow">
      <w:tblPr/>
      <w:tcPr>
        <w:tcMar>
          <w:top w:w="0.0" w:type="nil"/>
          <w:left w:w="115.0" w:type="dxa"/>
          <w:bottom w:w="0.0" w:type="nil"/>
          <w:right w:w="115.0" w:type="dxa"/>
        </w:tcMar>
      </w:tcPr>
    </w:tblStylePr>
    <w:tblStylePr w:type="firstCol">
      <w:tblPr/>
      <w:tcPr>
        <w:tcMar>
          <w:top w:w="0.0" w:type="nil"/>
          <w:left w:w="115.0" w:type="dxa"/>
          <w:bottom w:w="0.0" w:type="nil"/>
          <w:right w:w="115.0" w:type="dxa"/>
        </w:tcMar>
      </w:tcPr>
    </w:tblStylePr>
    <w:tblStylePr w:type="lastCol">
      <w:tblPr/>
      <w:tcPr>
        <w:tcMar>
          <w:top w:w="0.0" w:type="nil"/>
          <w:left w:w="115.0" w:type="dxa"/>
          <w:bottom w:w="0.0" w:type="nil"/>
          <w:right w:w="115.0" w:type="dxa"/>
        </w:tcMar>
      </w:tcPr>
    </w:tblStylePr>
    <w:tblStylePr w:type="band1Vert">
      <w:tblPr/>
      <w:tcPr>
        <w:tcMar>
          <w:top w:w="0.0" w:type="nil"/>
          <w:left w:w="115.0" w:type="dxa"/>
          <w:bottom w:w="0.0" w:type="nil"/>
          <w:right w:w="115.0" w:type="dxa"/>
        </w:tcMar>
      </w:tcPr>
    </w:tblStylePr>
    <w:tblStylePr w:type="band2Vert">
      <w:tblPr/>
      <w:tcPr>
        <w:tcMar>
          <w:top w:w="0.0" w:type="nil"/>
          <w:left w:w="115.0" w:type="dxa"/>
          <w:bottom w:w="0.0" w:type="nil"/>
          <w:right w:w="115.0" w:type="dxa"/>
        </w:tcMar>
      </w:tcPr>
    </w:tblStylePr>
    <w:tblStylePr w:type="band1Horz">
      <w:tblPr/>
      <w:tcPr>
        <w:tcMar>
          <w:top w:w="0.0" w:type="nil"/>
          <w:left w:w="115.0" w:type="dxa"/>
          <w:bottom w:w="0.0" w:type="nil"/>
          <w:right w:w="115.0" w:type="dxa"/>
        </w:tcMar>
      </w:tcPr>
    </w:tblStylePr>
    <w:tblStylePr w:type="band2Horz">
      <w:tblPr/>
      <w:tcPr>
        <w:tcMar>
          <w:top w:w="0.0" w:type="nil"/>
          <w:left w:w="115.0" w:type="dxa"/>
          <w:bottom w:w="0.0" w:type="nil"/>
          <w:right w:w="115.0" w:type="dxa"/>
        </w:tcMar>
      </w:tcPr>
    </w:tblStylePr>
    <w:tblStylePr w:type="neCell">
      <w:tblPr/>
      <w:tcPr>
        <w:tcMar>
          <w:top w:w="0.0" w:type="nil"/>
          <w:left w:w="115.0" w:type="dxa"/>
          <w:bottom w:w="0.0" w:type="nil"/>
          <w:right w:w="115.0" w:type="dxa"/>
        </w:tcMar>
      </w:tcPr>
    </w:tblStylePr>
    <w:tblStylePr w:type="nwCell">
      <w:tblPr/>
      <w:tcPr>
        <w:tcMar>
          <w:top w:w="0.0" w:type="nil"/>
          <w:left w:w="115.0" w:type="dxa"/>
          <w:bottom w:w="0.0" w:type="nil"/>
          <w:right w:w="115.0" w:type="dxa"/>
        </w:tcMar>
      </w:tcPr>
    </w:tblStylePr>
    <w:tblStylePr w:type="seCell">
      <w:tblPr/>
      <w:tcPr>
        <w:tcMar>
          <w:top w:w="0.0" w:type="nil"/>
          <w:left w:w="115.0" w:type="dxa"/>
          <w:bottom w:w="0.0" w:type="nil"/>
          <w:right w:w="115.0" w:type="dxa"/>
        </w:tcMar>
      </w:tcPr>
    </w:tblStylePr>
    <w:tblStylePr w:type="swCell">
      <w:tblPr/>
      <w:tcPr>
        <w:tcMar>
          <w:top w:w="0.0" w:type="nil"/>
          <w:left w:w="115.0" w:type="dxa"/>
          <w:bottom w:w="0.0" w:type="nil"/>
          <w:right w:w="115.0" w:type="dxa"/>
        </w:tcMar>
      </w:tcPr>
    </w:tblStylePr>
  </w:style>
  <w:style w:type="paragraph" w:styleId="BalloonText">
    <w:name w:val="Balloon Text"/>
    <w:basedOn w:val="Normal"/>
    <w:link w:val="BalloonTextChar"/>
    <w:uiPriority w:val="99"/>
    <w:semiHidden w:val="1"/>
    <w:unhideWhenUsed w:val="1"/>
    <w:rsid w:val="004D2369"/>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D2369"/>
    <w:rPr>
      <w:rFonts w:ascii="Tahoma" w:cs="Tahoma" w:hAnsi="Tahoma"/>
      <w:sz w:val="16"/>
      <w:szCs w:val="16"/>
    </w:rPr>
  </w:style>
  <w:style w:type="paragraph" w:styleId="Header">
    <w:name w:val="header"/>
    <w:basedOn w:val="Normal"/>
    <w:link w:val="HeaderChar"/>
    <w:uiPriority w:val="99"/>
    <w:unhideWhenUsed w:val="1"/>
    <w:rsid w:val="00C347FF"/>
    <w:pPr>
      <w:tabs>
        <w:tab w:val="center" w:pos="4513"/>
        <w:tab w:val="right" w:pos="9026"/>
      </w:tabs>
      <w:spacing w:line="240" w:lineRule="auto"/>
    </w:pPr>
  </w:style>
  <w:style w:type="character" w:styleId="HeaderChar" w:customStyle="1">
    <w:name w:val="Header Char"/>
    <w:basedOn w:val="DefaultParagraphFont"/>
    <w:link w:val="Header"/>
    <w:uiPriority w:val="99"/>
    <w:rsid w:val="00C347FF"/>
  </w:style>
  <w:style w:type="paragraph" w:styleId="Footer">
    <w:name w:val="footer"/>
    <w:basedOn w:val="Normal"/>
    <w:link w:val="FooterChar"/>
    <w:uiPriority w:val="99"/>
    <w:unhideWhenUsed w:val="1"/>
    <w:rsid w:val="00C347FF"/>
    <w:pPr>
      <w:tabs>
        <w:tab w:val="center" w:pos="4513"/>
        <w:tab w:val="right" w:pos="9026"/>
      </w:tabs>
      <w:spacing w:line="240" w:lineRule="auto"/>
    </w:pPr>
  </w:style>
  <w:style w:type="character" w:styleId="FooterChar" w:customStyle="1">
    <w:name w:val="Footer Char"/>
    <w:basedOn w:val="DefaultParagraphFont"/>
    <w:link w:val="Footer"/>
    <w:uiPriority w:val="99"/>
    <w:rsid w:val="00C347FF"/>
  </w:style>
  <w:style w:type="character" w:styleId="Hyperlink">
    <w:name w:val="Hyperlink"/>
    <w:basedOn w:val="DefaultParagraphFont"/>
    <w:rsid w:val="00A53C7D"/>
    <w:rPr>
      <w:color w:val="0000ff"/>
      <w:u w:val="single"/>
    </w:rPr>
  </w:style>
  <w:style w:type="paragraph" w:styleId="Normal10" w:customStyle="1">
    <w:name w:val="Normal1"/>
    <w:rsid w:val="002B232F"/>
  </w:style>
  <w:style w:type="character" w:styleId="FollowedHyperlink">
    <w:name w:val="FollowedHyperlink"/>
    <w:basedOn w:val="DefaultParagraphFont"/>
    <w:uiPriority w:val="99"/>
    <w:semiHidden w:val="1"/>
    <w:unhideWhenUsed w:val="1"/>
    <w:rsid w:val="002B232F"/>
    <w:rPr>
      <w:color w:val="800080" w:themeColor="followedHyperlink"/>
      <w:u w:val="single"/>
    </w:rPr>
  </w:style>
  <w:style w:type="paragraph" w:styleId="Caption">
    <w:name w:val="caption"/>
    <w:basedOn w:val="Normal"/>
    <w:next w:val="Normal"/>
    <w:uiPriority w:val="35"/>
    <w:semiHidden w:val="1"/>
    <w:unhideWhenUsed w:val="1"/>
    <w:qFormat w:val="1"/>
    <w:rsid w:val="00302F78"/>
    <w:pPr>
      <w:spacing w:after="200" w:line="240" w:lineRule="auto"/>
    </w:pPr>
    <w:rPr>
      <w:b w:val="1"/>
      <w:bCs w:val="1"/>
      <w:color w:val="4f81bd" w:themeColor="accent1"/>
      <w:sz w:val="18"/>
      <w:szCs w:val="18"/>
    </w:rPr>
  </w:style>
  <w:style w:type="paragraph" w:styleId="Responses-Singleline" w:customStyle="1">
    <w:name w:val="Responses - Single line"/>
    <w:basedOn w:val="Normal"/>
    <w:qFormat w:val="1"/>
    <w:rsid w:val="00590A0C"/>
    <w:pPr>
      <w:tabs>
        <w:tab w:val="left" w:pos="284"/>
      </w:tabs>
      <w:spacing w:after="60" w:before="60" w:line="240" w:lineRule="auto"/>
      <w:outlineLvl w:val="0"/>
    </w:pPr>
    <w:rPr>
      <w:rFonts w:ascii="Arial Narrow" w:eastAsia="Times" w:hAnsi="Arial Narrow"/>
      <w:color w:val="243842"/>
    </w:rPr>
  </w:style>
  <w:style w:type="paragraph" w:styleId="Tabletext" w:customStyle="1">
    <w:name w:val="Table text"/>
    <w:basedOn w:val="Normal"/>
    <w:rsid w:val="00590A0C"/>
    <w:pPr>
      <w:tabs>
        <w:tab w:val="left" w:pos="284"/>
      </w:tabs>
      <w:spacing w:after="120" w:line="240" w:lineRule="auto"/>
    </w:pPr>
    <w:rPr>
      <w:rFonts w:ascii="Myriad Pro" w:cs="Times New Roman" w:eastAsia="Times New Roman" w:hAnsi="Myriad Pro"/>
      <w:color w:val="auto"/>
      <w:sz w:val="20"/>
      <w:szCs w:val="24"/>
      <w:lang w:eastAsia="en-US"/>
    </w:rPr>
  </w:style>
  <w:style w:type="paragraph" w:styleId="Tableheading" w:customStyle="1">
    <w:name w:val="Table heading"/>
    <w:basedOn w:val="Tabletext"/>
    <w:next w:val="Tabletext"/>
    <w:rsid w:val="00590A0C"/>
    <w:pPr>
      <w:spacing w:after="60" w:before="60"/>
    </w:pPr>
    <w:rPr>
      <w:b w:val="1"/>
      <w:color w:val="007f8d"/>
    </w:rPr>
  </w:style>
  <w:style w:type="character" w:styleId="Heading2Char" w:customStyle="1">
    <w:name w:val="Heading 2 Char"/>
    <w:basedOn w:val="DefaultParagraphFont"/>
    <w:link w:val="Heading2"/>
    <w:rsid w:val="00C21644"/>
    <w:rPr>
      <w:rFonts w:ascii="Trebuchet MS" w:cs="Trebuchet MS" w:eastAsia="Trebuchet MS" w:hAnsi="Trebuchet MS"/>
      <w:b w:val="1"/>
      <w:sz w:val="26"/>
    </w:rPr>
  </w:style>
  <w:style w:type="paragraph" w:styleId="ListParagraph">
    <w:name w:val="List Paragraph"/>
    <w:basedOn w:val="Normal"/>
    <w:uiPriority w:val="34"/>
    <w:qFormat w:val="1"/>
    <w:rsid w:val="004C1249"/>
    <w:pPr>
      <w:spacing w:after="120" w:before="120" w:line="360" w:lineRule="auto"/>
      <w:ind w:left="720"/>
    </w:pPr>
    <w:rPr>
      <w:rFonts w:ascii="Calibri" w:cs="Times New Roman" w:hAnsi="Calibri" w:eastAsiaTheme="minorHAnsi"/>
      <w:color w:val="auto"/>
      <w:szCs w:val="22"/>
    </w:rPr>
  </w:style>
  <w:style w:type="paragraph" w:styleId="Default" w:customStyle="1">
    <w:name w:val="Default"/>
    <w:rsid w:val="004C1249"/>
    <w:pPr>
      <w:widowControl w:val="0"/>
      <w:autoSpaceDE w:val="0"/>
      <w:autoSpaceDN w:val="0"/>
      <w:adjustRightInd w:val="0"/>
      <w:spacing w:line="240" w:lineRule="auto"/>
    </w:pPr>
    <w:rPr>
      <w:rFonts w:ascii="Calibri" w:cs="Calibri" w:eastAsia="Times New Roman" w:hAnsi="Calibri"/>
      <w:sz w:val="24"/>
      <w:szCs w:val="24"/>
      <w:lang w:val="en-US"/>
    </w:rPr>
  </w:style>
  <w:style w:type="paragraph" w:styleId="default0" w:customStyle="1">
    <w:name w:val="default"/>
    <w:basedOn w:val="Normal"/>
    <w:rsid w:val="004C1249"/>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NormalWeb">
    <w:name w:val="Normal (Web)"/>
    <w:basedOn w:val="Normal"/>
    <w:uiPriority w:val="99"/>
    <w:unhideWhenUsed w:val="1"/>
    <w:rsid w:val="004C1249"/>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Emphasis">
    <w:name w:val="Emphasis"/>
    <w:basedOn w:val="DefaultParagraphFont"/>
    <w:uiPriority w:val="20"/>
    <w:qFormat w:val="1"/>
    <w:rsid w:val="009B5A01"/>
    <w:rPr>
      <w:i w:val="1"/>
      <w:iCs w:val="1"/>
    </w:rPr>
  </w:style>
  <w:style w:type="paragraph" w:styleId="bodysingle" w:customStyle="1">
    <w:name w:val="bodysingle"/>
    <w:basedOn w:val="Normal"/>
    <w:rsid w:val="006147FC"/>
    <w:pPr>
      <w:spacing w:after="100" w:afterAutospacing="1" w:before="100" w:beforeAutospacing="1" w:line="240" w:lineRule="auto"/>
    </w:pPr>
    <w:rPr>
      <w:rFonts w:ascii="Times New Roman" w:cs="Times New Roman" w:hAnsi="Times New Roman" w:eastAsiaTheme="minorHAnsi"/>
      <w:color w:val="auto"/>
      <w:sz w:val="24"/>
      <w:szCs w:val="24"/>
    </w:rPr>
  </w:style>
  <w:style w:type="paragraph" w:styleId="NormalIndent">
    <w:name w:val="Normal Indent"/>
    <w:basedOn w:val="Normal"/>
    <w:rsid w:val="006B19BE"/>
    <w:pPr>
      <w:tabs>
        <w:tab w:val="left" w:pos="284"/>
      </w:tabs>
      <w:spacing w:after="120" w:line="240" w:lineRule="auto"/>
      <w:ind w:left="567" w:right="601"/>
      <w:outlineLvl w:val="0"/>
    </w:pPr>
    <w:rPr>
      <w:rFonts w:ascii="Myriad Pro" w:eastAsia="Times" w:hAnsi="Myriad Pro"/>
      <w:color w:val="auto"/>
      <w:lang w:val="en-US"/>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biggerbetterbra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32Mylceda/xW7XfgAUHji+A5+g==">AMUW2mWO+lhfYtyLPRBpHas4G+9Eddi4h98iBi0nY1hV62uB1N65MEdOlyn88gdvEOtns60E4jJ5CaTuLKnTeKTFr813XInCN4I/2S/Pf/xIw4nZ/2DdD69LDe4xOOaTzJ34V+V1DZlCYCqaiaFH3XeDwCJzpG9ZzCBJDru3EoWUT4iyYeJ49quf7CPJCh1JYi71CUycUBrZ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2020-08-25T04:37:00Z</dcterms:created>
  <dc:creator>Sue Basedow</dc:creator>
</cp:coreProperties>
</file>